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854CA" w14:textId="5551B6C2" w:rsidR="00AF5454" w:rsidRPr="006C13FF" w:rsidRDefault="00AF5454" w:rsidP="004E2EB9">
      <w:pPr>
        <w:pStyle w:val="Title"/>
        <w:spacing w:before="240"/>
        <w:jc w:val="center"/>
        <w:rPr>
          <w:rFonts w:cs="Arial"/>
          <w:szCs w:val="32"/>
        </w:rPr>
      </w:pPr>
      <w:bookmarkStart w:id="0" w:name="_GoBack"/>
      <w:bookmarkEnd w:id="0"/>
      <w:r>
        <w:rPr>
          <w:rFonts w:cs="Arial"/>
          <w:szCs w:val="32"/>
        </w:rPr>
        <w:t>Drinking-water Standards</w:t>
      </w:r>
      <w:r w:rsidR="004015B8">
        <w:rPr>
          <w:rFonts w:cs="Arial"/>
          <w:szCs w:val="32"/>
        </w:rPr>
        <w:t xml:space="preserve"> for New Zealand 2005 (Revised 2018): Summary of </w:t>
      </w:r>
      <w:r w:rsidR="00AE29B7">
        <w:rPr>
          <w:rFonts w:cs="Arial"/>
          <w:szCs w:val="32"/>
        </w:rPr>
        <w:t>c</w:t>
      </w:r>
      <w:r w:rsidR="004015B8">
        <w:rPr>
          <w:rFonts w:cs="Arial"/>
          <w:szCs w:val="32"/>
        </w:rPr>
        <w:t>hanges</w:t>
      </w:r>
    </w:p>
    <w:p w14:paraId="26C9F5C1" w14:textId="0592F5E7" w:rsidR="004015B8" w:rsidRPr="004015B8" w:rsidRDefault="004015B8" w:rsidP="004E2EB9">
      <w:pPr>
        <w:jc w:val="both"/>
        <w:rPr>
          <w:szCs w:val="22"/>
        </w:rPr>
      </w:pPr>
      <w:r w:rsidRPr="004015B8">
        <w:rPr>
          <w:rFonts w:cs="Arial"/>
          <w:szCs w:val="22"/>
        </w:rPr>
        <w:t>Under the Health Act 1956, drinking-water suppliers are required to take all practicable steps to comply with the Drinking-</w:t>
      </w:r>
      <w:r w:rsidR="0050048E">
        <w:rPr>
          <w:rFonts w:cs="Arial"/>
          <w:szCs w:val="22"/>
        </w:rPr>
        <w:t>w</w:t>
      </w:r>
      <w:r w:rsidRPr="004015B8">
        <w:rPr>
          <w:rFonts w:cs="Arial"/>
          <w:szCs w:val="22"/>
        </w:rPr>
        <w:t xml:space="preserve">ater Standards for New Zealand (the Standards). As well as specifying the maximum allowable concentrations of contaminants in drinking-water, the Standards specify criteria for demonstrating compliance (including </w:t>
      </w:r>
      <w:r w:rsidRPr="004015B8">
        <w:rPr>
          <w:szCs w:val="22"/>
        </w:rPr>
        <w:t>sampling frequencies and testing procedures).</w:t>
      </w:r>
    </w:p>
    <w:p w14:paraId="2CE5B86B" w14:textId="77777777" w:rsidR="004015B8" w:rsidRPr="004015B8" w:rsidRDefault="004015B8" w:rsidP="004E2EB9">
      <w:pPr>
        <w:jc w:val="both"/>
        <w:rPr>
          <w:rFonts w:cs="Arial"/>
          <w:szCs w:val="22"/>
        </w:rPr>
      </w:pPr>
    </w:p>
    <w:p w14:paraId="7615167C" w14:textId="4DA33E32" w:rsidR="004015B8" w:rsidRPr="004015B8" w:rsidRDefault="004015B8" w:rsidP="004E2EB9">
      <w:pPr>
        <w:jc w:val="both"/>
        <w:rPr>
          <w:rFonts w:cs="Arial"/>
          <w:szCs w:val="22"/>
        </w:rPr>
      </w:pPr>
      <w:r w:rsidRPr="004015B8">
        <w:rPr>
          <w:rFonts w:cs="Arial"/>
          <w:szCs w:val="22"/>
        </w:rPr>
        <w:t>In December 2018, Hon Dr David Clark, Minister of Health, made a number of urgent a</w:t>
      </w:r>
      <w:r w:rsidR="00271165" w:rsidRPr="004015B8">
        <w:rPr>
          <w:rFonts w:cs="Arial"/>
          <w:szCs w:val="22"/>
        </w:rPr>
        <w:t xml:space="preserve">nd </w:t>
      </w:r>
      <w:r w:rsidR="00AF5454" w:rsidRPr="004015B8">
        <w:rPr>
          <w:rFonts w:cs="Arial"/>
          <w:szCs w:val="22"/>
        </w:rPr>
        <w:t>minor changes to the Standards</w:t>
      </w:r>
      <w:r w:rsidR="006208AA" w:rsidRPr="004015B8">
        <w:rPr>
          <w:rFonts w:cs="Arial"/>
          <w:szCs w:val="22"/>
        </w:rPr>
        <w:t xml:space="preserve"> </w:t>
      </w:r>
      <w:r w:rsidRPr="004015B8">
        <w:rPr>
          <w:rFonts w:cs="Arial"/>
          <w:szCs w:val="22"/>
        </w:rPr>
        <w:t xml:space="preserve">and issued the </w:t>
      </w:r>
      <w:r w:rsidRPr="004015B8">
        <w:rPr>
          <w:rFonts w:cs="Arial"/>
          <w:i/>
          <w:iCs/>
          <w:szCs w:val="22"/>
        </w:rPr>
        <w:t>Drinking-</w:t>
      </w:r>
      <w:r w:rsidR="0050048E">
        <w:rPr>
          <w:rFonts w:cs="Arial"/>
          <w:i/>
          <w:iCs/>
          <w:szCs w:val="22"/>
        </w:rPr>
        <w:t>w</w:t>
      </w:r>
      <w:r w:rsidRPr="004015B8">
        <w:rPr>
          <w:rFonts w:cs="Arial"/>
          <w:i/>
          <w:iCs/>
          <w:szCs w:val="22"/>
        </w:rPr>
        <w:t>ater Standards for New Zealand 2005 (Revised 2018)</w:t>
      </w:r>
      <w:r w:rsidRPr="004015B8">
        <w:rPr>
          <w:rFonts w:cs="Arial"/>
          <w:szCs w:val="22"/>
        </w:rPr>
        <w:t xml:space="preserve"> to supersede the </w:t>
      </w:r>
      <w:r w:rsidRPr="004015B8">
        <w:rPr>
          <w:rFonts w:cs="Arial"/>
          <w:i/>
          <w:iCs/>
          <w:szCs w:val="22"/>
        </w:rPr>
        <w:t>Drinking-</w:t>
      </w:r>
      <w:r w:rsidR="0050048E">
        <w:rPr>
          <w:rFonts w:cs="Arial"/>
          <w:i/>
          <w:iCs/>
          <w:szCs w:val="22"/>
        </w:rPr>
        <w:t>w</w:t>
      </w:r>
      <w:r w:rsidRPr="004015B8">
        <w:rPr>
          <w:rFonts w:cs="Arial"/>
          <w:i/>
          <w:iCs/>
          <w:szCs w:val="22"/>
        </w:rPr>
        <w:t>ater Standards for New Zealand 2005 (Revised 2008).</w:t>
      </w:r>
      <w:r w:rsidRPr="004015B8">
        <w:rPr>
          <w:rFonts w:cs="Arial"/>
          <w:szCs w:val="22"/>
        </w:rPr>
        <w:t xml:space="preserve"> The </w:t>
      </w:r>
      <w:r w:rsidRPr="004015B8">
        <w:rPr>
          <w:rFonts w:cs="Arial"/>
          <w:i/>
          <w:iCs/>
          <w:szCs w:val="22"/>
        </w:rPr>
        <w:t>Drinking-</w:t>
      </w:r>
      <w:r w:rsidR="0050048E">
        <w:rPr>
          <w:rFonts w:cs="Arial"/>
          <w:i/>
          <w:iCs/>
          <w:szCs w:val="22"/>
        </w:rPr>
        <w:t>w</w:t>
      </w:r>
      <w:r w:rsidRPr="004015B8">
        <w:rPr>
          <w:rFonts w:cs="Arial"/>
          <w:i/>
          <w:iCs/>
          <w:szCs w:val="22"/>
        </w:rPr>
        <w:t>ater Standards for New Zealand 2005 (Revised 2018)</w:t>
      </w:r>
      <w:r w:rsidRPr="004015B8">
        <w:rPr>
          <w:rFonts w:cs="Arial"/>
          <w:szCs w:val="22"/>
        </w:rPr>
        <w:t xml:space="preserve"> come into force on 1 March 2019.  A copy of the </w:t>
      </w:r>
      <w:r w:rsidRPr="004015B8">
        <w:rPr>
          <w:rFonts w:cs="Arial"/>
          <w:i/>
          <w:iCs/>
          <w:szCs w:val="22"/>
        </w:rPr>
        <w:t>Drinking-</w:t>
      </w:r>
      <w:r w:rsidR="0050048E">
        <w:rPr>
          <w:rFonts w:cs="Arial"/>
          <w:i/>
          <w:iCs/>
          <w:szCs w:val="22"/>
        </w:rPr>
        <w:t>w</w:t>
      </w:r>
      <w:r w:rsidRPr="004015B8">
        <w:rPr>
          <w:rFonts w:cs="Arial"/>
          <w:i/>
          <w:iCs/>
          <w:szCs w:val="22"/>
        </w:rPr>
        <w:t xml:space="preserve">ater Standards for New Zealand 2005 (Revised </w:t>
      </w:r>
      <w:r w:rsidRPr="004015B8">
        <w:rPr>
          <w:rFonts w:cs="Arial"/>
          <w:szCs w:val="22"/>
        </w:rPr>
        <w:t>2018) is displayed on the Ministry of Health</w:t>
      </w:r>
      <w:r w:rsidR="00AE29B7">
        <w:rPr>
          <w:rFonts w:cs="Arial"/>
          <w:szCs w:val="22"/>
        </w:rPr>
        <w:t>’s website</w:t>
      </w:r>
      <w:r w:rsidRPr="004015B8">
        <w:rPr>
          <w:rFonts w:cs="Arial"/>
          <w:szCs w:val="22"/>
        </w:rPr>
        <w:t xml:space="preserve"> at:</w:t>
      </w:r>
      <w:r w:rsidR="004E2EB9">
        <w:rPr>
          <w:rFonts w:cs="Arial"/>
          <w:szCs w:val="22"/>
        </w:rPr>
        <w:t xml:space="preserve"> </w:t>
      </w:r>
      <w:hyperlink r:id="rId8" w:history="1">
        <w:r w:rsidRPr="004015B8">
          <w:rPr>
            <w:rStyle w:val="Hyperlink"/>
            <w:szCs w:val="22"/>
            <w:u w:val="none"/>
          </w:rPr>
          <w:t>https://www.health.govt.nz/publication/drinking-water-standards-new-zealand-2005-revised-2018</w:t>
        </w:r>
      </w:hyperlink>
    </w:p>
    <w:p w14:paraId="53B6DB3F" w14:textId="77777777" w:rsidR="004015B8" w:rsidRPr="0078029F" w:rsidRDefault="004015B8" w:rsidP="004E2EB9">
      <w:pPr>
        <w:jc w:val="both"/>
        <w:rPr>
          <w:rFonts w:cs="Arial"/>
          <w:szCs w:val="22"/>
        </w:rPr>
      </w:pPr>
    </w:p>
    <w:p w14:paraId="7EBC9ED7" w14:textId="3ADD21C5" w:rsidR="0078029F" w:rsidRDefault="004015B8" w:rsidP="0078029F">
      <w:pPr>
        <w:jc w:val="both"/>
        <w:rPr>
          <w:rFonts w:eastAsiaTheme="minorHAnsi" w:cs="Arial"/>
          <w:color w:val="000000"/>
          <w:szCs w:val="22"/>
          <w:lang w:eastAsia="en-US"/>
        </w:rPr>
      </w:pPr>
      <w:r w:rsidRPr="0078029F">
        <w:rPr>
          <w:rFonts w:cs="Arial"/>
          <w:szCs w:val="22"/>
        </w:rPr>
        <w:t>The changes are briefly summarised below.</w:t>
      </w:r>
      <w:r w:rsidR="0078029F" w:rsidRPr="0078029F">
        <w:rPr>
          <w:rFonts w:cs="Arial"/>
          <w:szCs w:val="22"/>
        </w:rPr>
        <w:t xml:space="preserve"> Please note this is </w:t>
      </w:r>
      <w:r w:rsidR="0078029F" w:rsidRPr="0078029F">
        <w:rPr>
          <w:rFonts w:eastAsiaTheme="minorHAnsi" w:cs="Arial"/>
          <w:color w:val="000000"/>
          <w:szCs w:val="22"/>
          <w:lang w:eastAsia="en-US"/>
        </w:rPr>
        <w:t xml:space="preserve">only a summary of the changes and </w:t>
      </w:r>
      <w:r w:rsidR="0078029F">
        <w:rPr>
          <w:rFonts w:eastAsiaTheme="minorHAnsi" w:cs="Arial"/>
          <w:color w:val="000000"/>
          <w:szCs w:val="22"/>
          <w:lang w:eastAsia="en-US"/>
        </w:rPr>
        <w:t xml:space="preserve">anyone using the Standards </w:t>
      </w:r>
      <w:r w:rsidR="0078029F" w:rsidRPr="0078029F">
        <w:rPr>
          <w:rFonts w:eastAsiaTheme="minorHAnsi" w:cs="Arial"/>
          <w:color w:val="000000"/>
          <w:szCs w:val="22"/>
          <w:lang w:eastAsia="en-US"/>
        </w:rPr>
        <w:t xml:space="preserve">should take the time to read the Standards in their entirety. </w:t>
      </w:r>
    </w:p>
    <w:p w14:paraId="54B0F896" w14:textId="77777777" w:rsidR="0078029F" w:rsidRPr="0050048E" w:rsidRDefault="0078029F" w:rsidP="0078029F">
      <w:pPr>
        <w:jc w:val="both"/>
        <w:rPr>
          <w:rFonts w:eastAsiaTheme="minorHAnsi" w:cs="Arial"/>
          <w:color w:val="000000"/>
          <w:szCs w:val="22"/>
          <w:lang w:eastAsia="en-US"/>
        </w:rPr>
      </w:pPr>
    </w:p>
    <w:p w14:paraId="70B431FA" w14:textId="77777777" w:rsidR="0078029F" w:rsidRDefault="004015B8" w:rsidP="0078029F">
      <w:pPr>
        <w:jc w:val="both"/>
        <w:rPr>
          <w:b/>
        </w:rPr>
      </w:pPr>
      <w:r>
        <w:rPr>
          <w:b/>
        </w:rPr>
        <w:t>R</w:t>
      </w:r>
      <w:r w:rsidR="00AF5454" w:rsidRPr="001B6F41">
        <w:rPr>
          <w:b/>
        </w:rPr>
        <w:t>equire</w:t>
      </w:r>
      <w:r w:rsidR="004E2EB9">
        <w:rPr>
          <w:b/>
        </w:rPr>
        <w:t>ment to monitor total coliforms</w:t>
      </w:r>
    </w:p>
    <w:p w14:paraId="22B9F0D6" w14:textId="40886946" w:rsidR="0078029F" w:rsidRDefault="00AF5454" w:rsidP="0078029F">
      <w:pPr>
        <w:jc w:val="both"/>
      </w:pPr>
      <w:r>
        <w:t xml:space="preserve">The Standards </w:t>
      </w:r>
      <w:r w:rsidR="004015B8">
        <w:t>have been changed</w:t>
      </w:r>
      <w:r>
        <w:t xml:space="preserve"> to require drinking-water suppliers to monitor total coliforms</w:t>
      </w:r>
      <w:r>
        <w:rPr>
          <w:rStyle w:val="FootnoteReference"/>
        </w:rPr>
        <w:footnoteReference w:id="1"/>
      </w:r>
      <w:r>
        <w:t>. A high total coliform reading does not necessarily pose a risk to human health as the subset of faecal coliforms</w:t>
      </w:r>
      <w:r w:rsidR="004D6F31">
        <w:t xml:space="preserve">, and specifically </w:t>
      </w:r>
      <w:r w:rsidR="004D6F31" w:rsidRPr="004015B8">
        <w:rPr>
          <w:i/>
        </w:rPr>
        <w:t>E. coli</w:t>
      </w:r>
      <w:r w:rsidR="004D6F31">
        <w:t xml:space="preserve">, </w:t>
      </w:r>
      <w:r>
        <w:t xml:space="preserve">is recognised as the primary indicator that the drinking-water supply may be contaminated with pathogens. However, </w:t>
      </w:r>
      <w:r w:rsidR="004015B8">
        <w:t>t</w:t>
      </w:r>
      <w:r w:rsidRPr="00843056">
        <w:t>otal coliforms are a useful indicator of drinking-water quality and may detect abnormalities and changes in quality over time</w:t>
      </w:r>
      <w:r w:rsidR="004015B8">
        <w:t>.</w:t>
      </w:r>
      <w:r w:rsidR="004015B8" w:rsidRPr="004015B8">
        <w:t xml:space="preserve"> </w:t>
      </w:r>
      <w:r w:rsidR="004015B8">
        <w:t xml:space="preserve">Monitoring total coliforms may provide warning to a water supplier that water quality is changing, such that further testing and assessment is appropriate.  The Standards now require monitoring of total coliforms but do not include </w:t>
      </w:r>
      <w:r w:rsidR="00F01F05" w:rsidRPr="004015B8">
        <w:rPr>
          <w:rFonts w:cs="Arial"/>
          <w:szCs w:val="22"/>
        </w:rPr>
        <w:t xml:space="preserve">maximum values for </w:t>
      </w:r>
      <w:r w:rsidR="00843056" w:rsidRPr="004015B8">
        <w:rPr>
          <w:rFonts w:cs="Arial"/>
          <w:szCs w:val="22"/>
        </w:rPr>
        <w:t>total coliforms</w:t>
      </w:r>
      <w:r w:rsidR="00F01F05" w:rsidRPr="004015B8">
        <w:rPr>
          <w:rFonts w:cs="Arial"/>
          <w:szCs w:val="22"/>
        </w:rPr>
        <w:t xml:space="preserve"> as advice on respond</w:t>
      </w:r>
      <w:r w:rsidR="004015B8" w:rsidRPr="004015B8">
        <w:rPr>
          <w:rFonts w:cs="Arial"/>
          <w:szCs w:val="22"/>
        </w:rPr>
        <w:t>ing</w:t>
      </w:r>
      <w:r w:rsidR="00F01F05" w:rsidRPr="004015B8">
        <w:rPr>
          <w:rFonts w:cs="Arial"/>
          <w:szCs w:val="22"/>
        </w:rPr>
        <w:t xml:space="preserve"> to changes in total coliforms</w:t>
      </w:r>
      <w:r w:rsidR="004015B8" w:rsidRPr="004015B8">
        <w:rPr>
          <w:rFonts w:cs="Arial"/>
          <w:szCs w:val="22"/>
        </w:rPr>
        <w:t xml:space="preserve"> </w:t>
      </w:r>
      <w:r w:rsidR="004015B8">
        <w:rPr>
          <w:rFonts w:cs="Arial"/>
          <w:szCs w:val="22"/>
        </w:rPr>
        <w:t>will be</w:t>
      </w:r>
      <w:r>
        <w:t xml:space="preserve"> </w:t>
      </w:r>
      <w:r w:rsidR="00F01F05">
        <w:t xml:space="preserve">included in the Ministry’s Drinking-Water Guidelines. </w:t>
      </w:r>
      <w:r w:rsidR="0050048E">
        <w:t>The action to be followed when finding total coliforms will be specified in the water supplier’s water safety plan.</w:t>
      </w:r>
    </w:p>
    <w:p w14:paraId="3BC10020" w14:textId="77777777" w:rsidR="0078029F" w:rsidRDefault="0078029F" w:rsidP="0078029F">
      <w:pPr>
        <w:jc w:val="both"/>
      </w:pPr>
    </w:p>
    <w:p w14:paraId="76693995" w14:textId="77777777" w:rsidR="0078029F" w:rsidRDefault="004015B8" w:rsidP="0078029F">
      <w:pPr>
        <w:jc w:val="both"/>
        <w:rPr>
          <w:rFonts w:cs="Arial"/>
          <w:b/>
          <w:szCs w:val="22"/>
        </w:rPr>
      </w:pPr>
      <w:r>
        <w:rPr>
          <w:rFonts w:cs="Arial"/>
          <w:b/>
          <w:szCs w:val="22"/>
        </w:rPr>
        <w:t>R</w:t>
      </w:r>
      <w:r w:rsidR="00AF5454" w:rsidRPr="001B6F41">
        <w:rPr>
          <w:rFonts w:cs="Arial"/>
          <w:b/>
          <w:szCs w:val="22"/>
        </w:rPr>
        <w:t xml:space="preserve">equirement to carry out enumeration testing for </w:t>
      </w:r>
      <w:r w:rsidR="00AF5454" w:rsidRPr="00B07B3F">
        <w:rPr>
          <w:rFonts w:cs="Arial"/>
          <w:b/>
          <w:i/>
          <w:szCs w:val="22"/>
        </w:rPr>
        <w:t>E. coli</w:t>
      </w:r>
      <w:r w:rsidR="00AF5454" w:rsidRPr="001B6F41">
        <w:rPr>
          <w:rFonts w:cs="Arial"/>
          <w:b/>
          <w:szCs w:val="22"/>
        </w:rPr>
        <w:t xml:space="preserve"> </w:t>
      </w:r>
      <w:r>
        <w:rPr>
          <w:rFonts w:cs="Arial"/>
          <w:b/>
          <w:szCs w:val="22"/>
        </w:rPr>
        <w:t>and total coliforms</w:t>
      </w:r>
    </w:p>
    <w:p w14:paraId="7A51DC7B" w14:textId="77777777" w:rsidR="0078029F" w:rsidRDefault="004015B8" w:rsidP="0078029F">
      <w:pPr>
        <w:jc w:val="both"/>
      </w:pPr>
      <w:r>
        <w:t>Under the previous Standards, f</w:t>
      </w:r>
      <w:r w:rsidR="005E2CA8">
        <w:t>or rout</w:t>
      </w:r>
      <w:r>
        <w:t>ine monitoring of supplies, it wa</w:t>
      </w:r>
      <w:r w:rsidR="005E2CA8">
        <w:t xml:space="preserve">s sufficient to carry out </w:t>
      </w:r>
      <w:r w:rsidR="00AF5454">
        <w:t xml:space="preserve">a presence/absence test to determine if </w:t>
      </w:r>
      <w:r w:rsidR="00AF5454" w:rsidRPr="008E26DA">
        <w:rPr>
          <w:i/>
        </w:rPr>
        <w:t>E. coli</w:t>
      </w:r>
      <w:r>
        <w:t xml:space="preserve"> wa</w:t>
      </w:r>
      <w:r w:rsidR="00AF5454">
        <w:t>s present. If present, the Standards then require</w:t>
      </w:r>
      <w:r>
        <w:t>d</w:t>
      </w:r>
      <w:r w:rsidR="00AF5454">
        <w:t xml:space="preserve"> water suppliers to do an enumera</w:t>
      </w:r>
      <w:r w:rsidR="00E63684">
        <w:t>tion test to quantify</w:t>
      </w:r>
      <w:r w:rsidR="00AF5454">
        <w:t xml:space="preserve"> the result and more accurately assess the level of risk. </w:t>
      </w:r>
      <w:r w:rsidR="004E2EB9">
        <w:t>However, this creates a r</w:t>
      </w:r>
      <w:r w:rsidR="004E2EB9" w:rsidRPr="00005598">
        <w:rPr>
          <w:rFonts w:cs="Arial"/>
          <w:szCs w:val="22"/>
        </w:rPr>
        <w:t>isk of delay</w:t>
      </w:r>
      <w:r w:rsidR="004E2EB9">
        <w:rPr>
          <w:rFonts w:cs="Arial"/>
          <w:szCs w:val="22"/>
        </w:rPr>
        <w:t xml:space="preserve"> of one to two days </w:t>
      </w:r>
      <w:r w:rsidR="004E2EB9" w:rsidRPr="00852B92">
        <w:rPr>
          <w:rFonts w:cs="Arial"/>
          <w:color w:val="000000" w:themeColor="text1"/>
          <w:szCs w:val="22"/>
        </w:rPr>
        <w:t>in supplier response to a microbiological contamination event</w:t>
      </w:r>
      <w:r w:rsidR="004E2EB9" w:rsidRPr="00005598">
        <w:rPr>
          <w:rFonts w:cs="Arial"/>
          <w:szCs w:val="22"/>
        </w:rPr>
        <w:t xml:space="preserve"> </w:t>
      </w:r>
      <w:r w:rsidR="004E2EB9">
        <w:rPr>
          <w:rFonts w:cs="Arial"/>
          <w:szCs w:val="22"/>
        </w:rPr>
        <w:t xml:space="preserve">that </w:t>
      </w:r>
      <w:r w:rsidR="004E2EB9" w:rsidRPr="00005598">
        <w:rPr>
          <w:rFonts w:cs="Arial"/>
          <w:szCs w:val="22"/>
        </w:rPr>
        <w:t xml:space="preserve">constitutes </w:t>
      </w:r>
      <w:r w:rsidR="004E2EB9">
        <w:rPr>
          <w:rFonts w:cs="Arial"/>
          <w:szCs w:val="22"/>
        </w:rPr>
        <w:t xml:space="preserve">a </w:t>
      </w:r>
      <w:r w:rsidR="004E2EB9" w:rsidRPr="00852B92">
        <w:rPr>
          <w:rFonts w:cs="Arial"/>
          <w:szCs w:val="22"/>
        </w:rPr>
        <w:t xml:space="preserve">significant and readily avoidable </w:t>
      </w:r>
      <w:r w:rsidR="004E2EB9">
        <w:rPr>
          <w:rFonts w:cs="Arial"/>
          <w:szCs w:val="22"/>
        </w:rPr>
        <w:t>risk</w:t>
      </w:r>
      <w:r w:rsidR="004E2EB9" w:rsidRPr="00852B92">
        <w:rPr>
          <w:rFonts w:cs="Arial"/>
          <w:szCs w:val="22"/>
        </w:rPr>
        <w:t xml:space="preserve"> to public health</w:t>
      </w:r>
      <w:r w:rsidR="004E2EB9" w:rsidRPr="00005598">
        <w:rPr>
          <w:rFonts w:cs="Arial"/>
          <w:szCs w:val="22"/>
        </w:rPr>
        <w:t>.</w:t>
      </w:r>
      <w:r w:rsidR="004E2EB9">
        <w:rPr>
          <w:rFonts w:cs="Arial"/>
          <w:szCs w:val="22"/>
        </w:rPr>
        <w:t xml:space="preserve"> </w:t>
      </w:r>
      <w:r w:rsidR="004E2EB9">
        <w:t>D</w:t>
      </w:r>
      <w:r>
        <w:t>oing</w:t>
      </w:r>
      <w:r w:rsidR="00AF5454">
        <w:t xml:space="preserve"> enumeration tests would shorten the time required for re-testing and therefore improve the timeliness of response to contamination. This </w:t>
      </w:r>
      <w:r>
        <w:t>will</w:t>
      </w:r>
      <w:r w:rsidR="00AF5454">
        <w:t xml:space="preserve"> significantly reduce risk to public health. </w:t>
      </w:r>
    </w:p>
    <w:p w14:paraId="3A8ECB98" w14:textId="77777777" w:rsidR="0078029F" w:rsidRDefault="0078029F" w:rsidP="0078029F">
      <w:pPr>
        <w:jc w:val="both"/>
      </w:pPr>
    </w:p>
    <w:p w14:paraId="1A08A676" w14:textId="5AE2ED0C" w:rsidR="0078029F" w:rsidRDefault="00BB6A98" w:rsidP="0078029F">
      <w:pPr>
        <w:jc w:val="both"/>
      </w:pPr>
      <w:r w:rsidRPr="008E26DA">
        <w:t xml:space="preserve">Exceptions for emergency response are permitted in the </w:t>
      </w:r>
      <w:r w:rsidR="006208AA">
        <w:t>Standards</w:t>
      </w:r>
      <w:r w:rsidR="000B39BA">
        <w:t xml:space="preserve"> </w:t>
      </w:r>
      <w:r w:rsidR="008E26DA">
        <w:t xml:space="preserve">so the requirement for enumeration could be waived following, </w:t>
      </w:r>
      <w:r w:rsidR="00AE29B7">
        <w:t>eg</w:t>
      </w:r>
      <w:r w:rsidR="008E26DA">
        <w:t>, an earthquak</w:t>
      </w:r>
      <w:r w:rsidR="004D6F31">
        <w:t>e if access to</w:t>
      </w:r>
      <w:r w:rsidR="003C6AED">
        <w:t>/functionality of</w:t>
      </w:r>
      <w:r w:rsidR="004D6F31">
        <w:t xml:space="preserve"> laboratories is a</w:t>
      </w:r>
      <w:r w:rsidR="008E26DA">
        <w:t xml:space="preserve">ffected. </w:t>
      </w:r>
    </w:p>
    <w:p w14:paraId="29212270" w14:textId="77777777" w:rsidR="0078029F" w:rsidRDefault="0078029F" w:rsidP="0078029F">
      <w:pPr>
        <w:jc w:val="both"/>
      </w:pPr>
    </w:p>
    <w:p w14:paraId="293EEE82" w14:textId="77777777" w:rsidR="0050048E" w:rsidRDefault="0050048E">
      <w:pPr>
        <w:spacing w:after="160" w:line="259" w:lineRule="auto"/>
        <w:rPr>
          <w:rFonts w:cs="Arial"/>
          <w:b/>
          <w:szCs w:val="22"/>
        </w:rPr>
      </w:pPr>
      <w:r>
        <w:rPr>
          <w:rFonts w:cs="Arial"/>
          <w:b/>
          <w:szCs w:val="22"/>
        </w:rPr>
        <w:br w:type="page"/>
      </w:r>
    </w:p>
    <w:p w14:paraId="78C9C753" w14:textId="3A88B2C4" w:rsidR="0078029F" w:rsidRDefault="00224C3F" w:rsidP="0078029F">
      <w:pPr>
        <w:jc w:val="both"/>
        <w:rPr>
          <w:rFonts w:cs="Arial"/>
          <w:b/>
          <w:szCs w:val="22"/>
        </w:rPr>
      </w:pPr>
      <w:r w:rsidRPr="001B6F41">
        <w:rPr>
          <w:rFonts w:cs="Arial"/>
          <w:b/>
          <w:szCs w:val="22"/>
        </w:rPr>
        <w:lastRenderedPageBreak/>
        <w:t xml:space="preserve">Editorial </w:t>
      </w:r>
      <w:r w:rsidR="00F84CED" w:rsidRPr="001B6F41">
        <w:rPr>
          <w:rFonts w:cs="Arial"/>
          <w:b/>
          <w:szCs w:val="22"/>
        </w:rPr>
        <w:t>changes</w:t>
      </w:r>
    </w:p>
    <w:p w14:paraId="0AA2CA63" w14:textId="0A95D95C" w:rsidR="00224C3F" w:rsidRPr="004E2EB9" w:rsidRDefault="008E26DA" w:rsidP="0078029F">
      <w:pPr>
        <w:jc w:val="both"/>
        <w:rPr>
          <w:rFonts w:cs="Arial"/>
          <w:szCs w:val="22"/>
        </w:rPr>
      </w:pPr>
      <w:r w:rsidRPr="004E2EB9">
        <w:rPr>
          <w:rFonts w:cs="Arial"/>
          <w:szCs w:val="22"/>
        </w:rPr>
        <w:t>The Standards have not been amended since 2008. The</w:t>
      </w:r>
      <w:r w:rsidR="00AE4232" w:rsidRPr="004E2EB9">
        <w:rPr>
          <w:rFonts w:cs="Arial"/>
          <w:szCs w:val="22"/>
        </w:rPr>
        <w:t xml:space="preserve">re are typographical errors, sections that require </w:t>
      </w:r>
      <w:r w:rsidR="00AE4232" w:rsidRPr="004E2EB9">
        <w:rPr>
          <w:rFonts w:cs="Arial"/>
          <w:szCs w:val="22"/>
          <w:lang w:val="en-US"/>
        </w:rPr>
        <w:t xml:space="preserve">clarification and sections that could be streamlined. </w:t>
      </w:r>
      <w:r w:rsidR="004E2EB9" w:rsidRPr="004E2EB9">
        <w:rPr>
          <w:rFonts w:cs="Arial"/>
          <w:szCs w:val="22"/>
        </w:rPr>
        <w:t xml:space="preserve">The </w:t>
      </w:r>
      <w:r w:rsidRPr="004E2EB9">
        <w:rPr>
          <w:rFonts w:cs="Arial"/>
          <w:szCs w:val="22"/>
        </w:rPr>
        <w:t xml:space="preserve">passive </w:t>
      </w:r>
      <w:r w:rsidR="00832E00" w:rsidRPr="004E2EB9">
        <w:rPr>
          <w:rFonts w:cs="Arial"/>
          <w:szCs w:val="22"/>
        </w:rPr>
        <w:t xml:space="preserve">voice </w:t>
      </w:r>
      <w:r w:rsidR="004E2EB9" w:rsidRPr="004E2EB9">
        <w:rPr>
          <w:rFonts w:cs="Arial"/>
          <w:szCs w:val="22"/>
        </w:rPr>
        <w:t xml:space="preserve">has been replaced </w:t>
      </w:r>
      <w:r w:rsidR="00832E00" w:rsidRPr="004E2EB9">
        <w:rPr>
          <w:rFonts w:cs="Arial"/>
          <w:szCs w:val="22"/>
        </w:rPr>
        <w:t>with</w:t>
      </w:r>
      <w:r w:rsidRPr="004E2EB9">
        <w:rPr>
          <w:rFonts w:cs="Arial"/>
          <w:szCs w:val="22"/>
        </w:rPr>
        <w:t xml:space="preserve"> directive language to emphasise the </w:t>
      </w:r>
      <w:r w:rsidR="00832E00" w:rsidRPr="004E2EB9">
        <w:rPr>
          <w:rFonts w:cs="Arial"/>
          <w:szCs w:val="22"/>
        </w:rPr>
        <w:t xml:space="preserve">duties of suppliers. </w:t>
      </w:r>
    </w:p>
    <w:p w14:paraId="0EB1EA3A" w14:textId="77777777" w:rsidR="004E2EB9" w:rsidRPr="004E2EB9" w:rsidRDefault="004E2EB9" w:rsidP="004E2EB9">
      <w:pPr>
        <w:pStyle w:val="NoSpacing"/>
        <w:rPr>
          <w:rFonts w:ascii="Arial" w:hAnsi="Arial" w:cs="Arial"/>
          <w:sz w:val="22"/>
          <w:szCs w:val="22"/>
        </w:rPr>
      </w:pPr>
    </w:p>
    <w:p w14:paraId="7E996F82" w14:textId="31F6B57F" w:rsidR="00B50065" w:rsidRPr="004E2EB9" w:rsidRDefault="0078029F" w:rsidP="004E2EB9">
      <w:pPr>
        <w:pStyle w:val="NoSpacing"/>
        <w:rPr>
          <w:rFonts w:ascii="Arial" w:hAnsi="Arial" w:cs="Arial"/>
          <w:sz w:val="22"/>
          <w:szCs w:val="22"/>
        </w:rPr>
      </w:pPr>
      <w:r>
        <w:rPr>
          <w:rFonts w:ascii="Arial" w:hAnsi="Arial" w:cs="Arial"/>
          <w:b/>
          <w:i/>
          <w:sz w:val="22"/>
          <w:szCs w:val="22"/>
        </w:rPr>
        <w:t xml:space="preserve">1. </w:t>
      </w:r>
      <w:r w:rsidR="00B50065" w:rsidRPr="004E2EB9">
        <w:rPr>
          <w:rFonts w:ascii="Arial" w:hAnsi="Arial" w:cs="Arial"/>
          <w:b/>
          <w:i/>
          <w:sz w:val="22"/>
          <w:szCs w:val="22"/>
        </w:rPr>
        <w:t>Clarification and streamlining</w:t>
      </w:r>
      <w:r w:rsidR="004E2EB9" w:rsidRPr="004E2EB9">
        <w:rPr>
          <w:rFonts w:ascii="Arial" w:hAnsi="Arial" w:cs="Arial"/>
          <w:b/>
          <w:i/>
          <w:sz w:val="22"/>
          <w:szCs w:val="22"/>
        </w:rPr>
        <w:t>:</w:t>
      </w:r>
      <w:r w:rsidR="004E2EB9" w:rsidRPr="004E2EB9">
        <w:rPr>
          <w:rFonts w:ascii="Arial" w:hAnsi="Arial" w:cs="Arial"/>
          <w:sz w:val="22"/>
          <w:szCs w:val="22"/>
        </w:rPr>
        <w:t xml:space="preserve">  </w:t>
      </w:r>
      <w:r w:rsidR="00B50065" w:rsidRPr="004E2EB9">
        <w:rPr>
          <w:rFonts w:ascii="Arial" w:hAnsi="Arial" w:cs="Arial"/>
          <w:sz w:val="22"/>
          <w:szCs w:val="22"/>
        </w:rPr>
        <w:t xml:space="preserve">These proposals remove sections from the Standards that are duplicated in the Health Act and provide improved clarification for suppliers. </w:t>
      </w:r>
      <w:r>
        <w:rPr>
          <w:rFonts w:ascii="Arial" w:hAnsi="Arial" w:cs="Arial"/>
          <w:sz w:val="22"/>
          <w:szCs w:val="22"/>
        </w:rPr>
        <w:t>Whilst minor changes, they are more significant than the general changes that follow.</w:t>
      </w:r>
    </w:p>
    <w:p w14:paraId="5FC0C202" w14:textId="77777777" w:rsidR="004E2EB9" w:rsidRPr="004E2EB9" w:rsidRDefault="004E2EB9" w:rsidP="004E2EB9">
      <w:pPr>
        <w:pStyle w:val="NoSpacing"/>
        <w:rPr>
          <w:rFonts w:ascii="Arial" w:hAnsi="Arial" w:cs="Arial"/>
          <w:sz w:val="22"/>
          <w:szCs w:val="22"/>
        </w:rPr>
      </w:pPr>
    </w:p>
    <w:tbl>
      <w:tblPr>
        <w:tblStyle w:val="TableGrid"/>
        <w:tblW w:w="4922" w:type="pct"/>
        <w:tblLook w:val="04A0" w:firstRow="1" w:lastRow="0" w:firstColumn="1" w:lastColumn="0" w:noHBand="0" w:noVBand="1"/>
      </w:tblPr>
      <w:tblGrid>
        <w:gridCol w:w="7136"/>
        <w:gridCol w:w="2900"/>
      </w:tblGrid>
      <w:tr w:rsidR="00B50065" w:rsidRPr="004C552A" w14:paraId="4EA8E0FD" w14:textId="77777777" w:rsidTr="00332A0C">
        <w:trPr>
          <w:trHeight w:val="629"/>
        </w:trPr>
        <w:tc>
          <w:tcPr>
            <w:tcW w:w="3555" w:type="pct"/>
            <w:shd w:val="clear" w:color="auto" w:fill="000000" w:themeFill="text1"/>
          </w:tcPr>
          <w:p w14:paraId="5F57D2A0" w14:textId="24BEEA00" w:rsidR="00B50065" w:rsidRPr="004C552A" w:rsidRDefault="00B50065" w:rsidP="004E2EB9">
            <w:pPr>
              <w:spacing w:after="120"/>
              <w:rPr>
                <w:rFonts w:cs="Arial"/>
                <w:b/>
                <w:sz w:val="22"/>
                <w:szCs w:val="22"/>
              </w:rPr>
            </w:pPr>
            <w:r w:rsidRPr="004C552A">
              <w:rPr>
                <w:rFonts w:cs="Arial"/>
                <w:b/>
                <w:sz w:val="22"/>
                <w:szCs w:val="22"/>
              </w:rPr>
              <w:t>Description of change</w:t>
            </w:r>
          </w:p>
        </w:tc>
        <w:tc>
          <w:tcPr>
            <w:tcW w:w="1445" w:type="pct"/>
            <w:shd w:val="clear" w:color="auto" w:fill="000000" w:themeFill="text1"/>
          </w:tcPr>
          <w:p w14:paraId="47381C77" w14:textId="51A792FE" w:rsidR="00B50065" w:rsidRPr="004C552A" w:rsidRDefault="004E2EB9" w:rsidP="007937FF">
            <w:pPr>
              <w:spacing w:after="120"/>
              <w:rPr>
                <w:rFonts w:cs="Arial"/>
                <w:b/>
                <w:sz w:val="22"/>
                <w:szCs w:val="22"/>
              </w:rPr>
            </w:pPr>
            <w:r>
              <w:rPr>
                <w:rFonts w:cs="Arial"/>
                <w:b/>
                <w:sz w:val="22"/>
                <w:szCs w:val="22"/>
              </w:rPr>
              <w:t>C</w:t>
            </w:r>
            <w:r w:rsidR="00B50065" w:rsidRPr="004C552A">
              <w:rPr>
                <w:rFonts w:cs="Arial"/>
                <w:b/>
                <w:sz w:val="22"/>
                <w:szCs w:val="22"/>
              </w:rPr>
              <w:t>hange to the Standards</w:t>
            </w:r>
          </w:p>
        </w:tc>
      </w:tr>
      <w:tr w:rsidR="00B50065" w:rsidRPr="004C552A" w14:paraId="537F9183" w14:textId="77777777" w:rsidTr="00332A0C">
        <w:trPr>
          <w:trHeight w:val="4601"/>
        </w:trPr>
        <w:tc>
          <w:tcPr>
            <w:tcW w:w="3555" w:type="pct"/>
          </w:tcPr>
          <w:p w14:paraId="3FCC28FF" w14:textId="1E96CCEE" w:rsidR="00B50065" w:rsidRPr="00B07B3F" w:rsidRDefault="00B50065" w:rsidP="007937FF">
            <w:pPr>
              <w:spacing w:after="120"/>
              <w:rPr>
                <w:rFonts w:cs="Arial"/>
                <w:b/>
                <w:szCs w:val="20"/>
              </w:rPr>
            </w:pPr>
            <w:r w:rsidRPr="00B07B3F">
              <w:rPr>
                <w:rFonts w:cs="Arial"/>
                <w:b/>
                <w:szCs w:val="20"/>
              </w:rPr>
              <w:t xml:space="preserve">1. </w:t>
            </w:r>
            <w:r w:rsidR="0041736A">
              <w:rPr>
                <w:rFonts w:cs="Arial"/>
                <w:b/>
                <w:szCs w:val="20"/>
              </w:rPr>
              <w:t>P</w:t>
            </w:r>
            <w:r w:rsidRPr="00B07B3F">
              <w:rPr>
                <w:rFonts w:cs="Arial"/>
                <w:b/>
                <w:szCs w:val="20"/>
              </w:rPr>
              <w:t xml:space="preserve">rotozoal log removal Standard </w:t>
            </w:r>
            <w:r w:rsidR="0041736A">
              <w:rPr>
                <w:rFonts w:cs="Arial"/>
                <w:b/>
                <w:szCs w:val="20"/>
              </w:rPr>
              <w:t xml:space="preserve">clarified </w:t>
            </w:r>
            <w:r w:rsidRPr="00B07B3F">
              <w:rPr>
                <w:rFonts w:cs="Arial"/>
                <w:b/>
                <w:szCs w:val="20"/>
              </w:rPr>
              <w:t>to reflect scientific evidence of risk</w:t>
            </w:r>
          </w:p>
          <w:p w14:paraId="370252F9" w14:textId="4C390B43" w:rsidR="00B50065" w:rsidRPr="0050048E" w:rsidRDefault="004E2EB9" w:rsidP="007937FF">
            <w:pPr>
              <w:tabs>
                <w:tab w:val="left" w:pos="250"/>
                <w:tab w:val="left" w:pos="624"/>
              </w:tabs>
              <w:spacing w:after="120"/>
              <w:rPr>
                <w:rFonts w:cs="Arial"/>
                <w:color w:val="000000" w:themeColor="text1"/>
                <w:szCs w:val="20"/>
              </w:rPr>
            </w:pPr>
            <w:r w:rsidRPr="0050048E">
              <w:rPr>
                <w:rFonts w:cs="Arial"/>
                <w:color w:val="000000" w:themeColor="text1"/>
                <w:szCs w:val="20"/>
              </w:rPr>
              <w:t>T</w:t>
            </w:r>
            <w:r w:rsidR="00B50065" w:rsidRPr="0050048E">
              <w:rPr>
                <w:rFonts w:cs="Arial"/>
                <w:color w:val="000000" w:themeColor="text1"/>
                <w:szCs w:val="20"/>
              </w:rPr>
              <w:t>he</w:t>
            </w:r>
            <w:r w:rsidR="00C10BD7" w:rsidRPr="0050048E">
              <w:rPr>
                <w:rFonts w:cs="Arial"/>
                <w:color w:val="000000" w:themeColor="text1"/>
                <w:szCs w:val="20"/>
              </w:rPr>
              <w:t xml:space="preserve"> default </w:t>
            </w:r>
            <w:r w:rsidR="00B50065" w:rsidRPr="0050048E">
              <w:rPr>
                <w:rFonts w:cs="Arial"/>
                <w:color w:val="000000" w:themeColor="text1"/>
                <w:szCs w:val="20"/>
              </w:rPr>
              <w:t>protozoa</w:t>
            </w:r>
            <w:r w:rsidR="00C10BD7" w:rsidRPr="0050048E">
              <w:rPr>
                <w:rFonts w:cs="Arial"/>
                <w:color w:val="000000" w:themeColor="text1"/>
                <w:szCs w:val="20"/>
              </w:rPr>
              <w:t>l</w:t>
            </w:r>
            <w:r w:rsidR="00B50065" w:rsidRPr="0050048E">
              <w:rPr>
                <w:rFonts w:cs="Arial"/>
                <w:color w:val="000000" w:themeColor="text1"/>
                <w:szCs w:val="20"/>
              </w:rPr>
              <w:t xml:space="preserve"> log removal requirement </w:t>
            </w:r>
            <w:r w:rsidR="0050048E" w:rsidRPr="0050048E">
              <w:rPr>
                <w:color w:val="000000" w:themeColor="text1"/>
              </w:rPr>
              <w:t xml:space="preserve">for surface water source water </w:t>
            </w:r>
            <w:r w:rsidRPr="0050048E">
              <w:rPr>
                <w:rFonts w:cs="Arial"/>
                <w:color w:val="000000" w:themeColor="text1"/>
                <w:szCs w:val="20"/>
              </w:rPr>
              <w:t xml:space="preserve">has been </w:t>
            </w:r>
            <w:r w:rsidR="00B50065" w:rsidRPr="0050048E">
              <w:rPr>
                <w:rFonts w:cs="Arial"/>
                <w:color w:val="000000" w:themeColor="text1"/>
                <w:szCs w:val="20"/>
              </w:rPr>
              <w:t xml:space="preserve">changed to require </w:t>
            </w:r>
            <w:r w:rsidR="00DD0C90" w:rsidRPr="0050048E">
              <w:rPr>
                <w:rFonts w:cs="Arial"/>
                <w:color w:val="000000" w:themeColor="text1"/>
                <w:szCs w:val="20"/>
              </w:rPr>
              <w:t xml:space="preserve">at least </w:t>
            </w:r>
            <w:r w:rsidR="00B50065" w:rsidRPr="0050048E">
              <w:rPr>
                <w:rFonts w:cs="Arial"/>
                <w:color w:val="000000" w:themeColor="text1"/>
                <w:szCs w:val="20"/>
              </w:rPr>
              <w:t>3-log inactivation</w:t>
            </w:r>
            <w:r w:rsidR="009312DC" w:rsidRPr="0050048E">
              <w:rPr>
                <w:rFonts w:cs="Arial"/>
                <w:color w:val="000000" w:themeColor="text1"/>
                <w:szCs w:val="20"/>
              </w:rPr>
              <w:t>/</w:t>
            </w:r>
            <w:r w:rsidR="00B50065" w:rsidRPr="0050048E">
              <w:rPr>
                <w:rFonts w:cs="Arial"/>
                <w:color w:val="000000" w:themeColor="text1"/>
                <w:szCs w:val="20"/>
              </w:rPr>
              <w:t xml:space="preserve"> removal instead </w:t>
            </w:r>
            <w:r w:rsidR="009312DC" w:rsidRPr="0050048E">
              <w:rPr>
                <w:rFonts w:cs="Arial"/>
                <w:color w:val="000000" w:themeColor="text1"/>
                <w:szCs w:val="20"/>
              </w:rPr>
              <w:t xml:space="preserve">of </w:t>
            </w:r>
            <w:r w:rsidR="00D1175B" w:rsidRPr="0050048E">
              <w:rPr>
                <w:rFonts w:cs="Arial"/>
                <w:color w:val="000000" w:themeColor="text1"/>
                <w:szCs w:val="20"/>
              </w:rPr>
              <w:t>relying on</w:t>
            </w:r>
            <w:r w:rsidR="009312DC" w:rsidRPr="0050048E">
              <w:rPr>
                <w:rFonts w:cs="Arial"/>
                <w:color w:val="000000" w:themeColor="text1"/>
                <w:szCs w:val="20"/>
              </w:rPr>
              <w:t xml:space="preserve"> ambiguous qualitative catchment </w:t>
            </w:r>
            <w:r w:rsidR="00D1175B" w:rsidRPr="0050048E">
              <w:rPr>
                <w:rFonts w:cs="Arial"/>
                <w:color w:val="000000" w:themeColor="text1"/>
                <w:szCs w:val="20"/>
              </w:rPr>
              <w:t>descriptors.</w:t>
            </w:r>
            <w:r w:rsidR="0041736A" w:rsidRPr="0050048E">
              <w:rPr>
                <w:rFonts w:cs="Arial"/>
                <w:color w:val="000000" w:themeColor="text1"/>
                <w:szCs w:val="20"/>
              </w:rPr>
              <w:t xml:space="preserve">  </w:t>
            </w:r>
            <w:r w:rsidR="00B50065" w:rsidRPr="0050048E">
              <w:rPr>
                <w:rFonts w:cs="Arial"/>
                <w:color w:val="000000" w:themeColor="text1"/>
                <w:szCs w:val="20"/>
              </w:rPr>
              <w:t>There is no change to the maximum acceptable value in supplied drink</w:t>
            </w:r>
            <w:r w:rsidR="00596FDF" w:rsidRPr="0050048E">
              <w:rPr>
                <w:rFonts w:cs="Arial"/>
                <w:color w:val="000000" w:themeColor="text1"/>
                <w:szCs w:val="20"/>
              </w:rPr>
              <w:t>ing</w:t>
            </w:r>
            <w:r w:rsidR="00B50065" w:rsidRPr="0050048E">
              <w:rPr>
                <w:rFonts w:cs="Arial"/>
                <w:color w:val="000000" w:themeColor="text1"/>
                <w:szCs w:val="20"/>
              </w:rPr>
              <w:t xml:space="preserve"> water. </w:t>
            </w:r>
          </w:p>
          <w:p w14:paraId="6F35DC8B" w14:textId="77777777" w:rsidR="00B50065" w:rsidRPr="00B07B3F" w:rsidRDefault="00B50065" w:rsidP="007937FF">
            <w:pPr>
              <w:tabs>
                <w:tab w:val="left" w:pos="250"/>
                <w:tab w:val="left" w:pos="624"/>
              </w:tabs>
              <w:spacing w:after="120"/>
              <w:rPr>
                <w:rFonts w:cs="Arial"/>
                <w:szCs w:val="20"/>
              </w:rPr>
            </w:pPr>
            <w:r w:rsidRPr="00B07B3F">
              <w:rPr>
                <w:rFonts w:cs="Arial"/>
                <w:szCs w:val="20"/>
              </w:rPr>
              <w:t xml:space="preserve">Currently suppliers are expected to conduct a catchment risk assessment and establish an appropriate log-reduction for each raw water source. Conducting an individual risk assessment is expensive and onerous. </w:t>
            </w:r>
          </w:p>
          <w:p w14:paraId="005AA248" w14:textId="3103B054" w:rsidR="00B50065" w:rsidRPr="00B07B3F" w:rsidRDefault="00B50065" w:rsidP="007937FF">
            <w:pPr>
              <w:spacing w:after="120"/>
              <w:rPr>
                <w:rFonts w:cs="Arial"/>
                <w:szCs w:val="20"/>
              </w:rPr>
            </w:pPr>
            <w:r w:rsidRPr="00B07B3F">
              <w:rPr>
                <w:rFonts w:cs="Arial"/>
                <w:szCs w:val="20"/>
              </w:rPr>
              <w:t xml:space="preserve">Advice from Massey University and the results of investigations by water suppliers indicates that the </w:t>
            </w:r>
            <w:r w:rsidR="004D6F31" w:rsidRPr="00B07B3F">
              <w:rPr>
                <w:rFonts w:cs="Arial"/>
                <w:szCs w:val="20"/>
              </w:rPr>
              <w:t>presence</w:t>
            </w:r>
            <w:r w:rsidR="00724022" w:rsidRPr="00B07B3F">
              <w:rPr>
                <w:rFonts w:cs="Arial"/>
                <w:szCs w:val="20"/>
              </w:rPr>
              <w:t xml:space="preserve"> of pro</w:t>
            </w:r>
            <w:r w:rsidRPr="00B07B3F">
              <w:rPr>
                <w:rFonts w:cs="Arial"/>
                <w:szCs w:val="20"/>
              </w:rPr>
              <w:t xml:space="preserve">tozoa is low in New Zealand raw waters and a </w:t>
            </w:r>
            <w:r w:rsidR="0086263C" w:rsidRPr="00B07B3F">
              <w:rPr>
                <w:rFonts w:cs="Arial"/>
                <w:szCs w:val="20"/>
              </w:rPr>
              <w:t xml:space="preserve">default </w:t>
            </w:r>
            <w:r w:rsidRPr="00B07B3F">
              <w:rPr>
                <w:rFonts w:cs="Arial"/>
                <w:szCs w:val="20"/>
              </w:rPr>
              <w:t xml:space="preserve">3-log reduction will manage the risk to public health in drinking water suppliers. </w:t>
            </w:r>
          </w:p>
          <w:p w14:paraId="30105948" w14:textId="2765FBD0" w:rsidR="00B50065" w:rsidRPr="00B07B3F" w:rsidRDefault="00B50065" w:rsidP="007937FF">
            <w:pPr>
              <w:spacing w:after="120"/>
              <w:rPr>
                <w:rFonts w:cs="Arial"/>
                <w:szCs w:val="20"/>
              </w:rPr>
            </w:pPr>
            <w:r w:rsidRPr="00B07B3F">
              <w:rPr>
                <w:rFonts w:cs="Arial"/>
                <w:szCs w:val="20"/>
              </w:rPr>
              <w:t xml:space="preserve">This change provides greater clarity to suppliers, reduces the cost of source-specific risk assessments and will not increase risk to members of the public. </w:t>
            </w:r>
          </w:p>
          <w:p w14:paraId="7E3DF0AD" w14:textId="06463181" w:rsidR="00B50065" w:rsidRPr="00B07B3F" w:rsidRDefault="00B50065" w:rsidP="004E2EB9">
            <w:pPr>
              <w:pStyle w:val="NoSpacing"/>
              <w:spacing w:after="120"/>
              <w:rPr>
                <w:rFonts w:ascii="Arial" w:hAnsi="Arial" w:cs="Arial"/>
                <w:color w:val="000000"/>
                <w:sz w:val="20"/>
                <w:szCs w:val="20"/>
              </w:rPr>
            </w:pPr>
            <w:r w:rsidRPr="00B07B3F">
              <w:rPr>
                <w:rFonts w:ascii="Arial" w:hAnsi="Arial" w:cs="Arial"/>
                <w:color w:val="000000"/>
                <w:sz w:val="20"/>
                <w:szCs w:val="20"/>
              </w:rPr>
              <w:t>The form associated with conducting a catchment risk assessment, in Appendix 3</w:t>
            </w:r>
            <w:r w:rsidR="00D1175B" w:rsidRPr="00B07B3F">
              <w:rPr>
                <w:rFonts w:ascii="Arial" w:hAnsi="Arial" w:cs="Arial"/>
                <w:color w:val="000000"/>
                <w:sz w:val="20"/>
                <w:szCs w:val="20"/>
              </w:rPr>
              <w:t xml:space="preserve"> of the Standards</w:t>
            </w:r>
            <w:r w:rsidRPr="00B07B3F">
              <w:rPr>
                <w:rFonts w:ascii="Arial" w:hAnsi="Arial" w:cs="Arial"/>
                <w:color w:val="000000"/>
                <w:sz w:val="20"/>
                <w:szCs w:val="20"/>
              </w:rPr>
              <w:t xml:space="preserve">, </w:t>
            </w:r>
            <w:r w:rsidR="004E2EB9">
              <w:rPr>
                <w:rFonts w:ascii="Arial" w:hAnsi="Arial" w:cs="Arial"/>
                <w:color w:val="000000"/>
                <w:sz w:val="20"/>
                <w:szCs w:val="20"/>
              </w:rPr>
              <w:t>has been</w:t>
            </w:r>
            <w:r w:rsidRPr="00B07B3F">
              <w:rPr>
                <w:rFonts w:ascii="Arial" w:hAnsi="Arial" w:cs="Arial"/>
                <w:color w:val="000000"/>
                <w:sz w:val="20"/>
                <w:szCs w:val="20"/>
              </w:rPr>
              <w:t xml:space="preserve"> removed. </w:t>
            </w:r>
          </w:p>
        </w:tc>
        <w:tc>
          <w:tcPr>
            <w:tcW w:w="1445" w:type="pct"/>
          </w:tcPr>
          <w:p w14:paraId="29471D0D" w14:textId="77777777" w:rsidR="00B50065" w:rsidRPr="00B07B3F" w:rsidRDefault="00B50065" w:rsidP="007937FF">
            <w:pPr>
              <w:pStyle w:val="CommentText"/>
              <w:spacing w:after="120"/>
              <w:rPr>
                <w:rFonts w:cs="Arial"/>
              </w:rPr>
            </w:pPr>
            <w:r w:rsidRPr="00B07B3F">
              <w:rPr>
                <w:rFonts w:cs="Arial"/>
              </w:rPr>
              <w:t xml:space="preserve">Section 5: Protozoal compliance criteria – </w:t>
            </w:r>
            <w:r w:rsidRPr="00B07B3F">
              <w:rPr>
                <w:rFonts w:cs="Arial"/>
                <w:color w:val="000000"/>
              </w:rPr>
              <w:t>Changes to section 5.2.1 (Procedures for determining protozoal log credit requirements)</w:t>
            </w:r>
          </w:p>
          <w:p w14:paraId="28324D79" w14:textId="77777777" w:rsidR="00B50065" w:rsidRPr="00B07B3F" w:rsidRDefault="00B50065" w:rsidP="007937FF">
            <w:pPr>
              <w:pStyle w:val="NoSpacing"/>
              <w:spacing w:after="120"/>
              <w:rPr>
                <w:rFonts w:ascii="Arial" w:hAnsi="Arial" w:cs="Arial"/>
                <w:color w:val="000000"/>
                <w:sz w:val="20"/>
                <w:szCs w:val="20"/>
              </w:rPr>
            </w:pPr>
          </w:p>
          <w:p w14:paraId="2CD2D4F4" w14:textId="525074D2" w:rsidR="00B50065" w:rsidRPr="00B07B3F" w:rsidRDefault="00B50065" w:rsidP="007937FF">
            <w:pPr>
              <w:pStyle w:val="NoSpacing"/>
              <w:spacing w:after="120"/>
              <w:jc w:val="left"/>
              <w:rPr>
                <w:rFonts w:ascii="Arial" w:hAnsi="Arial" w:cs="Arial"/>
                <w:color w:val="000000"/>
                <w:sz w:val="20"/>
                <w:szCs w:val="20"/>
              </w:rPr>
            </w:pPr>
            <w:r w:rsidRPr="00B07B3F">
              <w:rPr>
                <w:rFonts w:ascii="Arial" w:hAnsi="Arial" w:cs="Arial"/>
                <w:color w:val="000000"/>
                <w:sz w:val="20"/>
                <w:szCs w:val="20"/>
              </w:rPr>
              <w:t>Appendix 3: Catchment Risk Cat</w:t>
            </w:r>
            <w:r w:rsidR="004E2EB9">
              <w:rPr>
                <w:rFonts w:ascii="Arial" w:hAnsi="Arial" w:cs="Arial"/>
                <w:color w:val="000000"/>
                <w:sz w:val="20"/>
                <w:szCs w:val="20"/>
              </w:rPr>
              <w:t>egorisation Survey Result Form deleted</w:t>
            </w:r>
            <w:r w:rsidRPr="00B07B3F">
              <w:rPr>
                <w:rFonts w:ascii="Arial" w:hAnsi="Arial" w:cs="Arial"/>
                <w:color w:val="000000"/>
                <w:sz w:val="20"/>
                <w:szCs w:val="20"/>
              </w:rPr>
              <w:t xml:space="preserve"> </w:t>
            </w:r>
          </w:p>
          <w:p w14:paraId="2F405EBF" w14:textId="77777777" w:rsidR="00B50065" w:rsidRPr="00B07B3F" w:rsidRDefault="00B50065" w:rsidP="007937FF">
            <w:pPr>
              <w:spacing w:after="120"/>
              <w:rPr>
                <w:rFonts w:cs="Arial"/>
                <w:szCs w:val="20"/>
              </w:rPr>
            </w:pPr>
          </w:p>
        </w:tc>
      </w:tr>
      <w:tr w:rsidR="00B50065" w:rsidRPr="004C552A" w14:paraId="79F558A4" w14:textId="77777777" w:rsidTr="004E2EB9">
        <w:trPr>
          <w:trHeight w:val="2054"/>
        </w:trPr>
        <w:tc>
          <w:tcPr>
            <w:tcW w:w="3555" w:type="pct"/>
          </w:tcPr>
          <w:p w14:paraId="5FFE3D68" w14:textId="6CE3720F" w:rsidR="00B50065" w:rsidRPr="00B07B3F" w:rsidRDefault="00B50065" w:rsidP="007937FF">
            <w:pPr>
              <w:spacing w:after="120"/>
              <w:rPr>
                <w:rFonts w:cs="Arial"/>
                <w:b/>
                <w:szCs w:val="20"/>
              </w:rPr>
            </w:pPr>
            <w:r w:rsidRPr="00B07B3F">
              <w:rPr>
                <w:rFonts w:cs="Arial"/>
                <w:b/>
                <w:szCs w:val="20"/>
              </w:rPr>
              <w:t xml:space="preserve">2. </w:t>
            </w:r>
            <w:r w:rsidR="0041736A">
              <w:rPr>
                <w:rFonts w:cs="Arial"/>
                <w:b/>
                <w:szCs w:val="20"/>
              </w:rPr>
              <w:t>D</w:t>
            </w:r>
            <w:r w:rsidRPr="00B07B3F">
              <w:rPr>
                <w:rFonts w:cs="Arial"/>
                <w:b/>
                <w:szCs w:val="20"/>
              </w:rPr>
              <w:t xml:space="preserve">uplicated requirements for tankered drinking-water carriers </w:t>
            </w:r>
            <w:r w:rsidR="0041736A">
              <w:rPr>
                <w:rFonts w:cs="Arial"/>
                <w:b/>
                <w:szCs w:val="20"/>
              </w:rPr>
              <w:t>removed</w:t>
            </w:r>
          </w:p>
          <w:p w14:paraId="455152A0" w14:textId="2BE966A7" w:rsidR="00B50065" w:rsidRPr="00B07B3F" w:rsidRDefault="00B50065" w:rsidP="004E2EB9">
            <w:pPr>
              <w:spacing w:after="120"/>
              <w:rPr>
                <w:rFonts w:cs="Arial"/>
                <w:szCs w:val="20"/>
              </w:rPr>
            </w:pPr>
            <w:r w:rsidRPr="00B07B3F">
              <w:rPr>
                <w:rFonts w:cs="Arial"/>
                <w:szCs w:val="20"/>
              </w:rPr>
              <w:t xml:space="preserve">The prescriptive requirements for tankered drinking-water carriers </w:t>
            </w:r>
            <w:r w:rsidR="004E2EB9">
              <w:rPr>
                <w:rFonts w:cs="Arial"/>
                <w:szCs w:val="20"/>
              </w:rPr>
              <w:t xml:space="preserve">have been </w:t>
            </w:r>
            <w:r w:rsidRPr="00B07B3F">
              <w:rPr>
                <w:rFonts w:cs="Arial"/>
                <w:szCs w:val="20"/>
              </w:rPr>
              <w:t xml:space="preserve">removed from the Standards as they are mandated through Part 2A of the Health Act. The supporting technical advice and points of clarification </w:t>
            </w:r>
            <w:r w:rsidR="004E2EB9">
              <w:rPr>
                <w:rFonts w:cs="Arial"/>
                <w:szCs w:val="20"/>
              </w:rPr>
              <w:t xml:space="preserve">have been moved </w:t>
            </w:r>
            <w:r w:rsidRPr="00B07B3F">
              <w:rPr>
                <w:rFonts w:cs="Arial"/>
                <w:szCs w:val="20"/>
              </w:rPr>
              <w:t xml:space="preserve">from the Standards to the Guidelines. This will put a more appropriate emphasis on the water safety plan procedures that carriers are currently required to implement. </w:t>
            </w:r>
            <w:r w:rsidRPr="00B07B3F">
              <w:rPr>
                <w:rFonts w:cs="Arial"/>
                <w:color w:val="000000"/>
                <w:szCs w:val="20"/>
              </w:rPr>
              <w:t>This does not reduce or alter the obligations of t</w:t>
            </w:r>
            <w:r w:rsidR="0086263C" w:rsidRPr="00B07B3F">
              <w:rPr>
                <w:rFonts w:cs="Arial"/>
                <w:color w:val="000000"/>
                <w:szCs w:val="20"/>
              </w:rPr>
              <w:t>a</w:t>
            </w:r>
            <w:r w:rsidRPr="00B07B3F">
              <w:rPr>
                <w:rFonts w:cs="Arial"/>
                <w:color w:val="000000"/>
                <w:szCs w:val="20"/>
              </w:rPr>
              <w:t xml:space="preserve">nkered drinking-water carriers. </w:t>
            </w:r>
          </w:p>
        </w:tc>
        <w:tc>
          <w:tcPr>
            <w:tcW w:w="1445" w:type="pct"/>
          </w:tcPr>
          <w:p w14:paraId="15C321D3" w14:textId="4E2F4A47" w:rsidR="00B50065" w:rsidRPr="00B07B3F" w:rsidRDefault="00B50065" w:rsidP="004E2EB9">
            <w:pPr>
              <w:spacing w:after="120"/>
              <w:rPr>
                <w:rFonts w:cs="Arial"/>
                <w:szCs w:val="20"/>
              </w:rPr>
            </w:pPr>
            <w:r w:rsidRPr="00B07B3F">
              <w:rPr>
                <w:rFonts w:cs="Arial"/>
                <w:szCs w:val="20"/>
              </w:rPr>
              <w:t xml:space="preserve">Section 11: Tankered Drinking-Water Compliance Criteria –entire section </w:t>
            </w:r>
            <w:r w:rsidR="004E2EB9">
              <w:rPr>
                <w:rFonts w:cs="Arial"/>
                <w:szCs w:val="20"/>
              </w:rPr>
              <w:t xml:space="preserve">transferred </w:t>
            </w:r>
            <w:r w:rsidRPr="00B07B3F">
              <w:rPr>
                <w:rFonts w:cs="Arial"/>
                <w:szCs w:val="20"/>
              </w:rPr>
              <w:t xml:space="preserve">from the Standards to Guidelines. </w:t>
            </w:r>
            <w:r w:rsidR="004E2EB9">
              <w:rPr>
                <w:rFonts w:cs="Arial"/>
                <w:szCs w:val="20"/>
              </w:rPr>
              <w:t>D</w:t>
            </w:r>
            <w:r w:rsidRPr="00B07B3F">
              <w:rPr>
                <w:rFonts w:cs="Arial"/>
                <w:szCs w:val="20"/>
              </w:rPr>
              <w:t xml:space="preserve">uplicated requirements </w:t>
            </w:r>
            <w:r w:rsidR="004E2EB9">
              <w:rPr>
                <w:rFonts w:cs="Arial"/>
                <w:szCs w:val="20"/>
              </w:rPr>
              <w:t xml:space="preserve">removed and </w:t>
            </w:r>
            <w:r w:rsidRPr="00B07B3F">
              <w:rPr>
                <w:rFonts w:cs="Arial"/>
                <w:szCs w:val="20"/>
              </w:rPr>
              <w:t>fu</w:t>
            </w:r>
            <w:r w:rsidR="004E2EB9">
              <w:rPr>
                <w:rFonts w:cs="Arial"/>
                <w:szCs w:val="20"/>
              </w:rPr>
              <w:t xml:space="preserve">rther explanatory information added. </w:t>
            </w:r>
          </w:p>
        </w:tc>
      </w:tr>
      <w:tr w:rsidR="00B50065" w:rsidRPr="004C552A" w14:paraId="6323BD74" w14:textId="77777777" w:rsidTr="00332A0C">
        <w:trPr>
          <w:trHeight w:val="2425"/>
        </w:trPr>
        <w:tc>
          <w:tcPr>
            <w:tcW w:w="3555" w:type="pct"/>
          </w:tcPr>
          <w:p w14:paraId="5456863C" w14:textId="76B4858F" w:rsidR="00B50065" w:rsidRPr="00B07B3F" w:rsidRDefault="00B50065" w:rsidP="007937FF">
            <w:pPr>
              <w:spacing w:after="120"/>
              <w:rPr>
                <w:rFonts w:cs="Arial"/>
                <w:b/>
                <w:color w:val="000000"/>
                <w:szCs w:val="20"/>
              </w:rPr>
            </w:pPr>
            <w:r w:rsidRPr="00B07B3F">
              <w:rPr>
                <w:rFonts w:cs="Arial"/>
                <w:b/>
                <w:color w:val="000000"/>
                <w:szCs w:val="20"/>
              </w:rPr>
              <w:t xml:space="preserve">3. </w:t>
            </w:r>
            <w:r w:rsidR="0041736A">
              <w:rPr>
                <w:rFonts w:cs="Arial"/>
                <w:b/>
                <w:szCs w:val="20"/>
              </w:rPr>
              <w:t>D</w:t>
            </w:r>
            <w:r w:rsidRPr="00B07B3F">
              <w:rPr>
                <w:rFonts w:cs="Arial"/>
                <w:b/>
                <w:szCs w:val="20"/>
              </w:rPr>
              <w:t xml:space="preserve">uplicated requirements </w:t>
            </w:r>
            <w:r w:rsidRPr="00B07B3F">
              <w:rPr>
                <w:rFonts w:cs="Arial"/>
                <w:b/>
                <w:color w:val="000000"/>
                <w:szCs w:val="20"/>
              </w:rPr>
              <w:t xml:space="preserve">for record-keeping </w:t>
            </w:r>
            <w:r w:rsidR="0041736A">
              <w:rPr>
                <w:rFonts w:cs="Arial"/>
                <w:b/>
                <w:color w:val="000000"/>
                <w:szCs w:val="20"/>
              </w:rPr>
              <w:t>removed</w:t>
            </w:r>
          </w:p>
          <w:p w14:paraId="44DB38DE" w14:textId="5B3FD356" w:rsidR="00B50065" w:rsidRPr="00B07B3F" w:rsidRDefault="00B50065" w:rsidP="0041736A">
            <w:pPr>
              <w:spacing w:after="120"/>
              <w:rPr>
                <w:rFonts w:cs="Arial"/>
                <w:szCs w:val="20"/>
              </w:rPr>
            </w:pPr>
            <w:r w:rsidRPr="00B07B3F">
              <w:rPr>
                <w:rFonts w:cs="Arial"/>
                <w:color w:val="000000"/>
                <w:szCs w:val="20"/>
              </w:rPr>
              <w:t xml:space="preserve">Section 13 which sets detailed reporting requirements duplicates the requirements for record keeping in Part 2A of the Health Act.  The duplicated sections </w:t>
            </w:r>
            <w:r w:rsidR="0041736A">
              <w:rPr>
                <w:rFonts w:cs="Arial"/>
                <w:color w:val="000000"/>
                <w:szCs w:val="20"/>
              </w:rPr>
              <w:t>have been</w:t>
            </w:r>
            <w:r w:rsidRPr="00B07B3F">
              <w:rPr>
                <w:rFonts w:cs="Arial"/>
                <w:color w:val="000000"/>
                <w:szCs w:val="20"/>
              </w:rPr>
              <w:t xml:space="preserve"> removed and </w:t>
            </w:r>
            <w:r w:rsidR="004D6F31" w:rsidRPr="00B07B3F">
              <w:rPr>
                <w:rFonts w:cs="Arial"/>
                <w:color w:val="000000"/>
                <w:szCs w:val="20"/>
              </w:rPr>
              <w:t>the</w:t>
            </w:r>
            <w:r w:rsidRPr="00B07B3F">
              <w:rPr>
                <w:rFonts w:cs="Arial"/>
                <w:szCs w:val="20"/>
              </w:rPr>
              <w:t xml:space="preserve"> supporting technical advice and points of clarification moved from the Standards to the Guidelines to </w:t>
            </w:r>
            <w:r w:rsidRPr="00B07B3F">
              <w:rPr>
                <w:rFonts w:cs="Arial"/>
                <w:color w:val="000000"/>
                <w:szCs w:val="20"/>
              </w:rPr>
              <w:t>allow for advice that complements existing statutory duties in the Health Act. This does not reduce or alter the substantive monitoring and record-keeping duties.</w:t>
            </w:r>
          </w:p>
        </w:tc>
        <w:tc>
          <w:tcPr>
            <w:tcW w:w="1445" w:type="pct"/>
          </w:tcPr>
          <w:p w14:paraId="29217165" w14:textId="2CBFA9B0" w:rsidR="00B50065" w:rsidRPr="00B07B3F" w:rsidRDefault="00B50065" w:rsidP="007937FF">
            <w:pPr>
              <w:spacing w:after="120"/>
              <w:rPr>
                <w:rFonts w:cs="Arial"/>
                <w:szCs w:val="20"/>
              </w:rPr>
            </w:pPr>
            <w:r w:rsidRPr="00B07B3F">
              <w:rPr>
                <w:rFonts w:cs="Arial"/>
                <w:szCs w:val="20"/>
              </w:rPr>
              <w:t xml:space="preserve">Section 13: </w:t>
            </w:r>
            <w:r w:rsidRPr="00B07B3F">
              <w:rPr>
                <w:rFonts w:cs="Arial"/>
                <w:color w:val="000000"/>
                <w:szCs w:val="20"/>
              </w:rPr>
              <w:t>(Complianc</w:t>
            </w:r>
            <w:r w:rsidR="0041736A">
              <w:rPr>
                <w:rFonts w:cs="Arial"/>
                <w:color w:val="000000"/>
                <w:szCs w:val="20"/>
              </w:rPr>
              <w:t xml:space="preserve">e Criteria: Records) – </w:t>
            </w:r>
            <w:r w:rsidRPr="00B07B3F">
              <w:rPr>
                <w:rFonts w:cs="Arial"/>
                <w:color w:val="000000"/>
                <w:szCs w:val="20"/>
              </w:rPr>
              <w:t xml:space="preserve">entire section </w:t>
            </w:r>
            <w:r w:rsidR="0041736A">
              <w:rPr>
                <w:rFonts w:cs="Arial"/>
                <w:color w:val="000000"/>
                <w:szCs w:val="20"/>
              </w:rPr>
              <w:t xml:space="preserve">transferred </w:t>
            </w:r>
            <w:r w:rsidRPr="00B07B3F">
              <w:rPr>
                <w:rFonts w:cs="Arial"/>
                <w:color w:val="000000"/>
                <w:szCs w:val="20"/>
              </w:rPr>
              <w:t xml:space="preserve">to Guidelines. </w:t>
            </w:r>
            <w:r w:rsidR="0041736A">
              <w:rPr>
                <w:rFonts w:cs="Arial"/>
                <w:szCs w:val="20"/>
              </w:rPr>
              <w:t>D</w:t>
            </w:r>
            <w:r w:rsidR="0041736A" w:rsidRPr="00B07B3F">
              <w:rPr>
                <w:rFonts w:cs="Arial"/>
                <w:szCs w:val="20"/>
              </w:rPr>
              <w:t xml:space="preserve">uplicated requirements </w:t>
            </w:r>
            <w:r w:rsidR="0041736A">
              <w:rPr>
                <w:rFonts w:cs="Arial"/>
                <w:szCs w:val="20"/>
              </w:rPr>
              <w:t xml:space="preserve">removed and </w:t>
            </w:r>
            <w:r w:rsidR="0041736A" w:rsidRPr="00B07B3F">
              <w:rPr>
                <w:rFonts w:cs="Arial"/>
                <w:szCs w:val="20"/>
              </w:rPr>
              <w:t>fu</w:t>
            </w:r>
            <w:r w:rsidR="0041736A">
              <w:rPr>
                <w:rFonts w:cs="Arial"/>
                <w:szCs w:val="20"/>
              </w:rPr>
              <w:t>rther explanatory information added.</w:t>
            </w:r>
          </w:p>
          <w:p w14:paraId="0307F3E1" w14:textId="77777777" w:rsidR="00B50065" w:rsidRPr="00B07B3F" w:rsidRDefault="00B50065" w:rsidP="007937FF">
            <w:pPr>
              <w:spacing w:after="120"/>
              <w:rPr>
                <w:rFonts w:cs="Arial"/>
                <w:szCs w:val="20"/>
              </w:rPr>
            </w:pPr>
          </w:p>
        </w:tc>
      </w:tr>
    </w:tbl>
    <w:p w14:paraId="6D27E641" w14:textId="77777777" w:rsidR="00B50065" w:rsidRPr="00AA32AD" w:rsidRDefault="00B50065" w:rsidP="00B50065">
      <w:pPr>
        <w:rPr>
          <w:rFonts w:cs="Arial"/>
        </w:rPr>
      </w:pPr>
    </w:p>
    <w:p w14:paraId="2EB937A9" w14:textId="77777777" w:rsidR="00B50065" w:rsidRPr="00AA32AD" w:rsidRDefault="00B50065" w:rsidP="00B50065">
      <w:pPr>
        <w:rPr>
          <w:rFonts w:cs="Arial"/>
        </w:rPr>
      </w:pPr>
      <w:r w:rsidRPr="00AA32AD">
        <w:rPr>
          <w:rFonts w:cs="Arial"/>
        </w:rPr>
        <w:br w:type="page"/>
      </w:r>
    </w:p>
    <w:p w14:paraId="1841DC21" w14:textId="270ABAAB" w:rsidR="00B50065" w:rsidRPr="004E2EB9" w:rsidRDefault="0078029F" w:rsidP="004E2EB9">
      <w:pPr>
        <w:pStyle w:val="NoSpacing"/>
        <w:rPr>
          <w:rFonts w:ascii="Arial" w:hAnsi="Arial" w:cs="Arial"/>
          <w:b/>
          <w:i/>
          <w:sz w:val="22"/>
          <w:szCs w:val="22"/>
        </w:rPr>
      </w:pPr>
      <w:r>
        <w:rPr>
          <w:rFonts w:ascii="Arial" w:hAnsi="Arial" w:cs="Arial"/>
          <w:b/>
          <w:i/>
          <w:sz w:val="22"/>
          <w:szCs w:val="22"/>
        </w:rPr>
        <w:lastRenderedPageBreak/>
        <w:t xml:space="preserve">2.  </w:t>
      </w:r>
      <w:r w:rsidR="004E2EB9" w:rsidRPr="004E2EB9">
        <w:rPr>
          <w:rFonts w:ascii="Arial" w:hAnsi="Arial" w:cs="Arial"/>
          <w:b/>
          <w:i/>
          <w:sz w:val="22"/>
          <w:szCs w:val="22"/>
        </w:rPr>
        <w:t>F</w:t>
      </w:r>
      <w:r w:rsidR="00B50065" w:rsidRPr="004E2EB9">
        <w:rPr>
          <w:rFonts w:ascii="Arial" w:hAnsi="Arial" w:cs="Arial"/>
          <w:b/>
          <w:i/>
          <w:sz w:val="22"/>
          <w:szCs w:val="22"/>
        </w:rPr>
        <w:t>urther general changes</w:t>
      </w:r>
      <w:r w:rsidR="004E2EB9" w:rsidRPr="0078029F">
        <w:rPr>
          <w:rFonts w:ascii="Arial" w:hAnsi="Arial" w:cs="Arial"/>
          <w:sz w:val="22"/>
          <w:szCs w:val="22"/>
        </w:rPr>
        <w:t>:  t</w:t>
      </w:r>
      <w:r w:rsidR="00B50065" w:rsidRPr="0078029F">
        <w:rPr>
          <w:rFonts w:ascii="Arial" w:hAnsi="Arial" w:cs="Arial"/>
          <w:sz w:val="22"/>
          <w:szCs w:val="22"/>
        </w:rPr>
        <w:t>hese changes:</w:t>
      </w:r>
    </w:p>
    <w:p w14:paraId="31A68BEC" w14:textId="7369FBD0" w:rsidR="00B50065" w:rsidRPr="004E2EB9" w:rsidRDefault="004E2EB9" w:rsidP="004E2EB9">
      <w:pPr>
        <w:pStyle w:val="NoSpacing"/>
        <w:numPr>
          <w:ilvl w:val="0"/>
          <w:numId w:val="24"/>
        </w:numPr>
        <w:rPr>
          <w:rFonts w:ascii="Arial" w:hAnsi="Arial" w:cs="Arial"/>
          <w:sz w:val="22"/>
          <w:szCs w:val="22"/>
        </w:rPr>
      </w:pPr>
      <w:r w:rsidRPr="004E2EB9">
        <w:rPr>
          <w:rFonts w:ascii="Arial" w:hAnsi="Arial" w:cs="Arial"/>
          <w:sz w:val="22"/>
          <w:szCs w:val="22"/>
        </w:rPr>
        <w:t>do not</w:t>
      </w:r>
      <w:r w:rsidR="00B50065" w:rsidRPr="004E2EB9">
        <w:rPr>
          <w:rFonts w:ascii="Arial" w:hAnsi="Arial" w:cs="Arial"/>
          <w:sz w:val="22"/>
          <w:szCs w:val="22"/>
        </w:rPr>
        <w:t xml:space="preserve"> substantively affect the standard – su</w:t>
      </w:r>
      <w:r w:rsidRPr="004E2EB9">
        <w:rPr>
          <w:rFonts w:ascii="Arial" w:hAnsi="Arial" w:cs="Arial"/>
          <w:sz w:val="22"/>
          <w:szCs w:val="22"/>
        </w:rPr>
        <w:t>pplier’s duties remain the same</w:t>
      </w:r>
      <w:r w:rsidR="0078029F">
        <w:rPr>
          <w:rFonts w:ascii="Arial" w:hAnsi="Arial" w:cs="Arial"/>
          <w:sz w:val="22"/>
          <w:szCs w:val="22"/>
        </w:rPr>
        <w:t>;</w:t>
      </w:r>
    </w:p>
    <w:p w14:paraId="5D529D79" w14:textId="43EE4EED" w:rsidR="00B50065" w:rsidRPr="004E2EB9" w:rsidRDefault="00B50065" w:rsidP="004E2EB9">
      <w:pPr>
        <w:pStyle w:val="NoSpacing"/>
        <w:numPr>
          <w:ilvl w:val="0"/>
          <w:numId w:val="24"/>
        </w:numPr>
        <w:rPr>
          <w:rFonts w:ascii="Arial" w:hAnsi="Arial" w:cs="Arial"/>
          <w:sz w:val="22"/>
          <w:szCs w:val="22"/>
        </w:rPr>
      </w:pPr>
      <w:r w:rsidRPr="004E2EB9">
        <w:rPr>
          <w:rFonts w:ascii="Arial" w:hAnsi="Arial" w:cs="Arial"/>
          <w:sz w:val="22"/>
          <w:szCs w:val="22"/>
        </w:rPr>
        <w:t xml:space="preserve">improve clarity and </w:t>
      </w:r>
      <w:r w:rsidR="0078029F" w:rsidRPr="004E2EB9">
        <w:rPr>
          <w:rFonts w:ascii="Arial" w:hAnsi="Arial" w:cs="Arial"/>
          <w:sz w:val="22"/>
          <w:szCs w:val="22"/>
        </w:rPr>
        <w:t>readability</w:t>
      </w:r>
      <w:r w:rsidRPr="004E2EB9">
        <w:rPr>
          <w:rFonts w:ascii="Arial" w:hAnsi="Arial" w:cs="Arial"/>
          <w:sz w:val="22"/>
          <w:szCs w:val="22"/>
        </w:rPr>
        <w:t xml:space="preserve"> of the standards and therefore can contribute to ease of compliance and enforcement</w:t>
      </w:r>
      <w:r w:rsidR="0078029F">
        <w:rPr>
          <w:rFonts w:ascii="Arial" w:hAnsi="Arial" w:cs="Arial"/>
          <w:sz w:val="22"/>
          <w:szCs w:val="22"/>
        </w:rPr>
        <w:t>;</w:t>
      </w:r>
    </w:p>
    <w:p w14:paraId="45700266" w14:textId="0BCB1805" w:rsidR="00B50065" w:rsidRDefault="00B50065" w:rsidP="004E2EB9">
      <w:pPr>
        <w:pStyle w:val="NoSpacing"/>
        <w:numPr>
          <w:ilvl w:val="0"/>
          <w:numId w:val="24"/>
        </w:numPr>
        <w:rPr>
          <w:rFonts w:ascii="Arial" w:hAnsi="Arial" w:cs="Arial"/>
          <w:sz w:val="22"/>
          <w:szCs w:val="22"/>
        </w:rPr>
      </w:pPr>
      <w:r w:rsidRPr="004E2EB9">
        <w:rPr>
          <w:rFonts w:ascii="Arial" w:hAnsi="Arial" w:cs="Arial"/>
          <w:sz w:val="22"/>
          <w:szCs w:val="22"/>
        </w:rPr>
        <w:t>are numerous, occur throughout the document, and are not individually listed in this summary – a description of the key categories of changes are provided, with examples provided for clarity</w:t>
      </w:r>
      <w:r w:rsidR="004E2EB9">
        <w:rPr>
          <w:rFonts w:ascii="Arial" w:hAnsi="Arial" w:cs="Arial"/>
          <w:sz w:val="22"/>
          <w:szCs w:val="22"/>
        </w:rPr>
        <w:t>.</w:t>
      </w:r>
    </w:p>
    <w:p w14:paraId="4A67D109" w14:textId="77777777" w:rsidR="004E2EB9" w:rsidRPr="004E2EB9" w:rsidRDefault="004E2EB9" w:rsidP="004E2EB9">
      <w:pPr>
        <w:pStyle w:val="NoSpacing"/>
        <w:rPr>
          <w:rFonts w:ascii="Arial" w:hAnsi="Arial" w:cs="Arial"/>
          <w:sz w:val="22"/>
          <w:szCs w:val="22"/>
        </w:rPr>
      </w:pPr>
    </w:p>
    <w:tbl>
      <w:tblPr>
        <w:tblStyle w:val="TableGrid"/>
        <w:tblW w:w="0" w:type="auto"/>
        <w:tblInd w:w="-5" w:type="dxa"/>
        <w:tblLook w:val="04A0" w:firstRow="1" w:lastRow="0" w:firstColumn="1" w:lastColumn="0" w:noHBand="0" w:noVBand="1"/>
      </w:tblPr>
      <w:tblGrid>
        <w:gridCol w:w="3493"/>
        <w:gridCol w:w="6707"/>
      </w:tblGrid>
      <w:tr w:rsidR="00B50065" w:rsidRPr="00AA32AD" w14:paraId="4FB6AD2C" w14:textId="77777777" w:rsidTr="007937FF">
        <w:tc>
          <w:tcPr>
            <w:tcW w:w="6120" w:type="dxa"/>
            <w:tcBorders>
              <w:top w:val="nil"/>
            </w:tcBorders>
            <w:shd w:val="clear" w:color="auto" w:fill="000000" w:themeFill="text1"/>
          </w:tcPr>
          <w:p w14:paraId="7518DBEB" w14:textId="77777777" w:rsidR="00B50065" w:rsidRPr="00AA32AD" w:rsidRDefault="00B50065" w:rsidP="007937FF">
            <w:pPr>
              <w:rPr>
                <w:rFonts w:cs="Arial"/>
                <w:b/>
                <w:sz w:val="21"/>
                <w:szCs w:val="21"/>
              </w:rPr>
            </w:pPr>
            <w:r w:rsidRPr="00AA32AD">
              <w:rPr>
                <w:rFonts w:cs="Arial"/>
                <w:b/>
                <w:sz w:val="21"/>
                <w:szCs w:val="21"/>
              </w:rPr>
              <w:t xml:space="preserve">Types of changes </w:t>
            </w:r>
          </w:p>
        </w:tc>
        <w:tc>
          <w:tcPr>
            <w:tcW w:w="14809" w:type="dxa"/>
            <w:shd w:val="clear" w:color="auto" w:fill="000000" w:themeFill="text1"/>
          </w:tcPr>
          <w:p w14:paraId="55B9B08B" w14:textId="77777777" w:rsidR="00B50065" w:rsidRPr="00AA32AD" w:rsidRDefault="00B50065" w:rsidP="007937FF">
            <w:pPr>
              <w:tabs>
                <w:tab w:val="left" w:pos="6179"/>
              </w:tabs>
              <w:rPr>
                <w:rFonts w:cs="Arial"/>
                <w:b/>
                <w:sz w:val="21"/>
                <w:szCs w:val="21"/>
              </w:rPr>
            </w:pPr>
            <w:r w:rsidRPr="00AA32AD">
              <w:rPr>
                <w:rFonts w:cs="Arial"/>
                <w:b/>
                <w:sz w:val="21"/>
                <w:szCs w:val="21"/>
              </w:rPr>
              <w:t>Examples of proposed changes</w:t>
            </w:r>
            <w:r>
              <w:rPr>
                <w:rFonts w:cs="Arial"/>
                <w:b/>
                <w:sz w:val="21"/>
                <w:szCs w:val="21"/>
              </w:rPr>
              <w:tab/>
            </w:r>
          </w:p>
        </w:tc>
      </w:tr>
      <w:tr w:rsidR="00B50065" w:rsidRPr="00AA32AD" w14:paraId="393F7219" w14:textId="77777777" w:rsidTr="007937FF">
        <w:tc>
          <w:tcPr>
            <w:tcW w:w="6120" w:type="dxa"/>
          </w:tcPr>
          <w:p w14:paraId="2E1E414F" w14:textId="77777777" w:rsidR="00B50065" w:rsidRPr="0041736A" w:rsidRDefault="00B50065" w:rsidP="0041736A">
            <w:pPr>
              <w:pStyle w:val="NoSpacing"/>
              <w:rPr>
                <w:rFonts w:ascii="Arial" w:hAnsi="Arial" w:cs="Arial"/>
                <w:sz w:val="20"/>
                <w:szCs w:val="20"/>
              </w:rPr>
            </w:pPr>
            <w:r w:rsidRPr="0041736A">
              <w:rPr>
                <w:rFonts w:ascii="Arial" w:hAnsi="Arial" w:cs="Arial"/>
                <w:sz w:val="20"/>
                <w:szCs w:val="20"/>
              </w:rPr>
              <w:t>1. Drafting clarifications</w:t>
            </w:r>
          </w:p>
          <w:p w14:paraId="59BC42BF" w14:textId="322D98CB" w:rsidR="00B50065" w:rsidRPr="0041736A" w:rsidRDefault="0041736A" w:rsidP="0041736A">
            <w:pPr>
              <w:pStyle w:val="NoSpacing"/>
              <w:numPr>
                <w:ilvl w:val="0"/>
                <w:numId w:val="25"/>
              </w:numPr>
              <w:rPr>
                <w:rFonts w:ascii="Arial" w:hAnsi="Arial" w:cs="Arial"/>
                <w:sz w:val="20"/>
                <w:szCs w:val="20"/>
              </w:rPr>
            </w:pPr>
            <w:r w:rsidRPr="0041736A">
              <w:rPr>
                <w:rFonts w:ascii="Arial" w:hAnsi="Arial" w:cs="Arial"/>
                <w:sz w:val="20"/>
                <w:szCs w:val="20"/>
              </w:rPr>
              <w:t>P</w:t>
            </w:r>
            <w:r w:rsidR="00B50065" w:rsidRPr="0041736A">
              <w:rPr>
                <w:rFonts w:ascii="Arial" w:hAnsi="Arial" w:cs="Arial"/>
                <w:sz w:val="20"/>
                <w:szCs w:val="20"/>
              </w:rPr>
              <w:t xml:space="preserve">assive voice </w:t>
            </w:r>
            <w:r w:rsidRPr="0041736A">
              <w:rPr>
                <w:rFonts w:ascii="Arial" w:hAnsi="Arial" w:cs="Arial"/>
                <w:sz w:val="20"/>
                <w:szCs w:val="20"/>
              </w:rPr>
              <w:t xml:space="preserve">changed </w:t>
            </w:r>
            <w:r w:rsidR="00B50065" w:rsidRPr="0041736A">
              <w:rPr>
                <w:rFonts w:ascii="Arial" w:hAnsi="Arial" w:cs="Arial"/>
                <w:sz w:val="20"/>
                <w:szCs w:val="20"/>
              </w:rPr>
              <w:t xml:space="preserve">to clarify the supplier is a duty-holder; other semantic/syntactical edits for clarity. </w:t>
            </w:r>
          </w:p>
          <w:p w14:paraId="26598B6E" w14:textId="306E9650" w:rsidR="00B50065" w:rsidRPr="0041736A" w:rsidRDefault="00B50065" w:rsidP="0041736A">
            <w:pPr>
              <w:pStyle w:val="NoSpacing"/>
              <w:numPr>
                <w:ilvl w:val="0"/>
                <w:numId w:val="25"/>
              </w:numPr>
              <w:rPr>
                <w:rFonts w:ascii="Arial" w:hAnsi="Arial" w:cs="Arial"/>
                <w:sz w:val="20"/>
                <w:szCs w:val="20"/>
              </w:rPr>
            </w:pPr>
            <w:r w:rsidRPr="0041736A">
              <w:rPr>
                <w:rFonts w:ascii="Arial" w:hAnsi="Arial" w:cs="Arial"/>
                <w:sz w:val="20"/>
                <w:szCs w:val="20"/>
              </w:rPr>
              <w:t>Redraft</w:t>
            </w:r>
            <w:r w:rsidR="0041736A" w:rsidRPr="0041736A">
              <w:rPr>
                <w:rFonts w:ascii="Arial" w:hAnsi="Arial" w:cs="Arial"/>
                <w:sz w:val="20"/>
                <w:szCs w:val="20"/>
              </w:rPr>
              <w:t xml:space="preserve">ed </w:t>
            </w:r>
            <w:r w:rsidRPr="0041736A">
              <w:rPr>
                <w:rFonts w:ascii="Arial" w:hAnsi="Arial" w:cs="Arial"/>
                <w:sz w:val="20"/>
                <w:szCs w:val="20"/>
              </w:rPr>
              <w:t>to clarify the mandatory nature of duties</w:t>
            </w:r>
          </w:p>
        </w:tc>
        <w:tc>
          <w:tcPr>
            <w:tcW w:w="14809" w:type="dxa"/>
          </w:tcPr>
          <w:p w14:paraId="1D895162" w14:textId="77777777" w:rsidR="0041736A" w:rsidRPr="0041736A" w:rsidRDefault="0041736A" w:rsidP="0041736A">
            <w:pPr>
              <w:pStyle w:val="NoSpacing"/>
              <w:rPr>
                <w:rFonts w:ascii="Arial" w:hAnsi="Arial" w:cs="Arial"/>
                <w:sz w:val="20"/>
                <w:szCs w:val="20"/>
              </w:rPr>
            </w:pPr>
          </w:p>
          <w:p w14:paraId="5446BFF8" w14:textId="77777777" w:rsidR="00B50065" w:rsidRPr="0041736A" w:rsidRDefault="00B50065" w:rsidP="0041736A">
            <w:pPr>
              <w:pStyle w:val="NoSpacing"/>
              <w:rPr>
                <w:rFonts w:ascii="Arial" w:hAnsi="Arial" w:cs="Arial"/>
                <w:sz w:val="20"/>
                <w:szCs w:val="20"/>
              </w:rPr>
            </w:pPr>
            <w:r w:rsidRPr="0041736A">
              <w:rPr>
                <w:rFonts w:ascii="Arial" w:hAnsi="Arial" w:cs="Arial"/>
                <w:sz w:val="20"/>
                <w:szCs w:val="20"/>
              </w:rPr>
              <w:t xml:space="preserve">Throughout </w:t>
            </w:r>
          </w:p>
        </w:tc>
      </w:tr>
      <w:tr w:rsidR="00B50065" w:rsidRPr="00AA32AD" w14:paraId="359CB554" w14:textId="77777777" w:rsidTr="007937FF">
        <w:tc>
          <w:tcPr>
            <w:tcW w:w="6120" w:type="dxa"/>
          </w:tcPr>
          <w:p w14:paraId="5208FD3A" w14:textId="77777777" w:rsidR="00B50065" w:rsidRPr="0041736A" w:rsidRDefault="00B50065" w:rsidP="0041736A">
            <w:pPr>
              <w:pStyle w:val="NoSpacing"/>
              <w:rPr>
                <w:rFonts w:ascii="Arial" w:hAnsi="Arial" w:cs="Arial"/>
                <w:sz w:val="20"/>
                <w:szCs w:val="20"/>
              </w:rPr>
            </w:pPr>
            <w:r w:rsidRPr="0041736A">
              <w:rPr>
                <w:rFonts w:ascii="Arial" w:hAnsi="Arial" w:cs="Arial"/>
                <w:sz w:val="20"/>
                <w:szCs w:val="20"/>
              </w:rPr>
              <w:t>2. Reorganisation of content for readability</w:t>
            </w:r>
          </w:p>
          <w:p w14:paraId="3DE7733C" w14:textId="3D0C2FA7" w:rsidR="00B50065" w:rsidRPr="0041736A" w:rsidRDefault="00B50065" w:rsidP="0041736A">
            <w:pPr>
              <w:pStyle w:val="NoSpacing"/>
              <w:numPr>
                <w:ilvl w:val="0"/>
                <w:numId w:val="26"/>
              </w:numPr>
              <w:rPr>
                <w:rFonts w:ascii="Arial" w:hAnsi="Arial" w:cs="Arial"/>
                <w:sz w:val="20"/>
                <w:szCs w:val="20"/>
              </w:rPr>
            </w:pPr>
            <w:r w:rsidRPr="0041736A">
              <w:rPr>
                <w:rFonts w:ascii="Arial" w:hAnsi="Arial" w:cs="Arial"/>
                <w:sz w:val="20"/>
                <w:szCs w:val="20"/>
              </w:rPr>
              <w:t>Removal of duplicated text through reorganisation and minor redraftin</w:t>
            </w:r>
            <w:r w:rsidR="0041736A">
              <w:rPr>
                <w:rFonts w:ascii="Arial" w:hAnsi="Arial" w:cs="Arial"/>
                <w:sz w:val="20"/>
                <w:szCs w:val="20"/>
              </w:rPr>
              <w:t>g of content</w:t>
            </w:r>
          </w:p>
          <w:p w14:paraId="733CA47A" w14:textId="77777777" w:rsidR="00B50065" w:rsidRPr="0041736A" w:rsidRDefault="00B50065" w:rsidP="0041736A">
            <w:pPr>
              <w:pStyle w:val="NoSpacing"/>
              <w:numPr>
                <w:ilvl w:val="0"/>
                <w:numId w:val="26"/>
              </w:numPr>
              <w:rPr>
                <w:rFonts w:ascii="Arial" w:hAnsi="Arial" w:cs="Arial"/>
                <w:sz w:val="20"/>
                <w:szCs w:val="20"/>
              </w:rPr>
            </w:pPr>
            <w:r w:rsidRPr="0041736A">
              <w:rPr>
                <w:rFonts w:ascii="Arial" w:hAnsi="Arial" w:cs="Arial"/>
                <w:sz w:val="20"/>
                <w:szCs w:val="20"/>
              </w:rPr>
              <w:t>Addition of statements referencing other content, to avoid duplication of content</w:t>
            </w:r>
          </w:p>
        </w:tc>
        <w:tc>
          <w:tcPr>
            <w:tcW w:w="14809" w:type="dxa"/>
          </w:tcPr>
          <w:p w14:paraId="196E2BE3" w14:textId="77777777" w:rsidR="0041736A" w:rsidRPr="0041736A" w:rsidRDefault="0041736A" w:rsidP="0041736A">
            <w:pPr>
              <w:pStyle w:val="NoSpacing"/>
              <w:rPr>
                <w:rFonts w:ascii="Arial" w:hAnsi="Arial" w:cs="Arial"/>
                <w:sz w:val="20"/>
                <w:szCs w:val="20"/>
              </w:rPr>
            </w:pPr>
          </w:p>
          <w:p w14:paraId="787EDACC" w14:textId="32967151" w:rsidR="00B50065" w:rsidRPr="0041736A" w:rsidRDefault="0041736A" w:rsidP="0041736A">
            <w:pPr>
              <w:pStyle w:val="NoSpacing"/>
              <w:rPr>
                <w:rFonts w:ascii="Arial" w:hAnsi="Arial" w:cs="Arial"/>
                <w:sz w:val="20"/>
                <w:szCs w:val="20"/>
              </w:rPr>
            </w:pPr>
            <w:r w:rsidRPr="0041736A">
              <w:rPr>
                <w:rFonts w:ascii="Arial" w:hAnsi="Arial" w:cs="Arial"/>
                <w:sz w:val="20"/>
                <w:szCs w:val="20"/>
              </w:rPr>
              <w:t>Throughout</w:t>
            </w:r>
          </w:p>
        </w:tc>
      </w:tr>
      <w:tr w:rsidR="00B50065" w:rsidRPr="00AA32AD" w14:paraId="7229BA22" w14:textId="77777777" w:rsidTr="007937FF">
        <w:tc>
          <w:tcPr>
            <w:tcW w:w="6120" w:type="dxa"/>
          </w:tcPr>
          <w:p w14:paraId="57E51CAC" w14:textId="77777777" w:rsidR="00B50065" w:rsidRPr="0041736A" w:rsidRDefault="00B50065" w:rsidP="0041736A">
            <w:pPr>
              <w:pStyle w:val="NoSpacing"/>
              <w:rPr>
                <w:rFonts w:ascii="Arial" w:hAnsi="Arial" w:cs="Arial"/>
                <w:sz w:val="20"/>
                <w:szCs w:val="20"/>
              </w:rPr>
            </w:pPr>
            <w:r w:rsidRPr="0041736A">
              <w:rPr>
                <w:rFonts w:ascii="Arial" w:hAnsi="Arial" w:cs="Arial"/>
                <w:sz w:val="20"/>
                <w:szCs w:val="20"/>
              </w:rPr>
              <w:t>3. Removal of guidance/migration of guidance to guidelines</w:t>
            </w:r>
          </w:p>
          <w:p w14:paraId="0B89E56E" w14:textId="77777777" w:rsidR="00B50065" w:rsidRPr="0041736A" w:rsidRDefault="00B50065" w:rsidP="0041736A">
            <w:pPr>
              <w:pStyle w:val="NoSpacing"/>
              <w:numPr>
                <w:ilvl w:val="0"/>
                <w:numId w:val="27"/>
              </w:numPr>
              <w:rPr>
                <w:rFonts w:ascii="Arial" w:hAnsi="Arial" w:cs="Arial"/>
                <w:sz w:val="20"/>
                <w:szCs w:val="20"/>
              </w:rPr>
            </w:pPr>
            <w:r w:rsidRPr="0041736A">
              <w:rPr>
                <w:rFonts w:ascii="Arial" w:hAnsi="Arial" w:cs="Arial"/>
                <w:sz w:val="20"/>
                <w:szCs w:val="20"/>
              </w:rPr>
              <w:t xml:space="preserve">Removal of guidance or narration where the guidance is redundant or no longer up to date. </w:t>
            </w:r>
          </w:p>
          <w:p w14:paraId="44335280" w14:textId="77777777" w:rsidR="00B50065" w:rsidRPr="0041736A" w:rsidRDefault="00B50065" w:rsidP="0041736A">
            <w:pPr>
              <w:pStyle w:val="NoSpacing"/>
              <w:numPr>
                <w:ilvl w:val="0"/>
                <w:numId w:val="27"/>
              </w:numPr>
              <w:rPr>
                <w:rFonts w:ascii="Arial" w:hAnsi="Arial" w:cs="Arial"/>
                <w:sz w:val="20"/>
                <w:szCs w:val="20"/>
              </w:rPr>
            </w:pPr>
            <w:r w:rsidRPr="0041736A">
              <w:rPr>
                <w:rFonts w:ascii="Arial" w:hAnsi="Arial" w:cs="Arial"/>
                <w:sz w:val="20"/>
                <w:szCs w:val="20"/>
              </w:rPr>
              <w:t xml:space="preserve">Guidance or narrative content has been moved to guidelines. This is to ensure that the DWSNZ are a manageable document that clearly articulates the duties that must be met by suppliers, without undue length. </w:t>
            </w:r>
          </w:p>
        </w:tc>
        <w:tc>
          <w:tcPr>
            <w:tcW w:w="14809" w:type="dxa"/>
          </w:tcPr>
          <w:p w14:paraId="7FF0D269" w14:textId="59C12F55" w:rsidR="00B50065" w:rsidRPr="0041736A" w:rsidRDefault="00B50065" w:rsidP="0041736A">
            <w:pPr>
              <w:pStyle w:val="NoSpacing"/>
              <w:rPr>
                <w:rFonts w:ascii="Arial" w:hAnsi="Arial" w:cs="Arial"/>
                <w:sz w:val="20"/>
                <w:szCs w:val="20"/>
              </w:rPr>
            </w:pPr>
            <w:r w:rsidRPr="0041736A">
              <w:rPr>
                <w:rFonts w:ascii="Arial" w:hAnsi="Arial" w:cs="Arial"/>
                <w:sz w:val="20"/>
                <w:szCs w:val="20"/>
              </w:rPr>
              <w:t xml:space="preserve">In section 3.3.4 the category of ‘Priority 4 determinands’ </w:t>
            </w:r>
            <w:r w:rsidR="0041736A">
              <w:rPr>
                <w:rFonts w:ascii="Arial" w:hAnsi="Arial" w:cs="Arial"/>
                <w:sz w:val="20"/>
                <w:szCs w:val="20"/>
              </w:rPr>
              <w:t>has been</w:t>
            </w:r>
            <w:r w:rsidRPr="0041736A">
              <w:rPr>
                <w:rFonts w:ascii="Arial" w:hAnsi="Arial" w:cs="Arial"/>
                <w:sz w:val="20"/>
                <w:szCs w:val="20"/>
              </w:rPr>
              <w:t xml:space="preserve"> removed. The category was established to classify substances not likely to be present in the water supply. In practice it has never been used and is considered to be redundant as no action is required if priority 4 determinands are found. Substances and any relevant risk assessment of them can occur in either the Priority 3 classification or within a water supplier’s water safety plan. </w:t>
            </w:r>
          </w:p>
          <w:p w14:paraId="2E1417CA" w14:textId="77777777" w:rsidR="0041736A" w:rsidRDefault="0041736A" w:rsidP="0041736A">
            <w:pPr>
              <w:pStyle w:val="NoSpacing"/>
              <w:rPr>
                <w:rFonts w:ascii="Arial" w:hAnsi="Arial" w:cs="Arial"/>
                <w:sz w:val="20"/>
                <w:szCs w:val="20"/>
              </w:rPr>
            </w:pPr>
          </w:p>
          <w:p w14:paraId="54C50526" w14:textId="35198D28" w:rsidR="00B50065" w:rsidRDefault="00B50065" w:rsidP="0041736A">
            <w:pPr>
              <w:pStyle w:val="NoSpacing"/>
              <w:rPr>
                <w:rFonts w:ascii="Arial" w:hAnsi="Arial" w:cs="Arial"/>
                <w:sz w:val="20"/>
                <w:szCs w:val="20"/>
              </w:rPr>
            </w:pPr>
            <w:r w:rsidRPr="0041736A">
              <w:rPr>
                <w:rFonts w:ascii="Arial" w:hAnsi="Arial" w:cs="Arial"/>
                <w:sz w:val="20"/>
                <w:szCs w:val="20"/>
              </w:rPr>
              <w:t xml:space="preserve">The specific distribution zone compliance criteria in section 4.3.7 (and associated references in other subsections) </w:t>
            </w:r>
            <w:r w:rsidR="0041736A">
              <w:rPr>
                <w:rFonts w:ascii="Arial" w:hAnsi="Arial" w:cs="Arial"/>
                <w:sz w:val="20"/>
                <w:szCs w:val="20"/>
              </w:rPr>
              <w:t>have been</w:t>
            </w:r>
            <w:r w:rsidRPr="0041736A">
              <w:rPr>
                <w:rFonts w:ascii="Arial" w:hAnsi="Arial" w:cs="Arial"/>
                <w:sz w:val="20"/>
                <w:szCs w:val="20"/>
              </w:rPr>
              <w:t xml:space="preserve"> deleted. During the last substantial review of the Standards in 2005, some water suppliers were configured to provide bulk drinking water to another supplier responsible for delivering drinking water to consumers. Specific distribution zone compliance criteria (“7A and 7B”) were adopted to recognise this arrangement. However, this arrangement no longer exists. Water from a bulk supplier will still be subject to other Standards and bulk water suppliers must still comply with water safety planning requirements. </w:t>
            </w:r>
            <w:r w:rsidR="0041736A">
              <w:rPr>
                <w:rFonts w:ascii="Arial" w:hAnsi="Arial" w:cs="Arial"/>
                <w:sz w:val="20"/>
                <w:szCs w:val="20"/>
              </w:rPr>
              <w:t>T</w:t>
            </w:r>
            <w:r w:rsidRPr="0041736A">
              <w:rPr>
                <w:rFonts w:ascii="Arial" w:hAnsi="Arial" w:cs="Arial"/>
                <w:sz w:val="20"/>
                <w:szCs w:val="20"/>
              </w:rPr>
              <w:t>here will be no adverse impact on water suppliers or public safety.</w:t>
            </w:r>
          </w:p>
          <w:p w14:paraId="4EFC035B" w14:textId="77777777" w:rsidR="0041736A" w:rsidRPr="0041736A" w:rsidRDefault="0041736A" w:rsidP="0041736A">
            <w:pPr>
              <w:pStyle w:val="NoSpacing"/>
              <w:rPr>
                <w:rFonts w:ascii="Arial" w:hAnsi="Arial" w:cs="Arial"/>
                <w:sz w:val="20"/>
                <w:szCs w:val="20"/>
              </w:rPr>
            </w:pPr>
          </w:p>
          <w:p w14:paraId="25635826" w14:textId="7AF3404C" w:rsidR="00B50065" w:rsidRDefault="00B50065" w:rsidP="0041736A">
            <w:pPr>
              <w:pStyle w:val="NoSpacing"/>
              <w:rPr>
                <w:rFonts w:ascii="Arial" w:hAnsi="Arial" w:cs="Arial"/>
                <w:sz w:val="20"/>
                <w:szCs w:val="20"/>
              </w:rPr>
            </w:pPr>
            <w:r w:rsidRPr="0041736A">
              <w:rPr>
                <w:rFonts w:ascii="Arial" w:hAnsi="Arial" w:cs="Arial"/>
                <w:sz w:val="20"/>
                <w:szCs w:val="20"/>
              </w:rPr>
              <w:t xml:space="preserve">In section 10 the term “participating supplies” </w:t>
            </w:r>
            <w:r w:rsidR="0041736A">
              <w:rPr>
                <w:rFonts w:ascii="Arial" w:hAnsi="Arial" w:cs="Arial"/>
                <w:sz w:val="20"/>
                <w:szCs w:val="20"/>
              </w:rPr>
              <w:t>has been</w:t>
            </w:r>
            <w:r w:rsidRPr="0041736A">
              <w:rPr>
                <w:rFonts w:ascii="Arial" w:hAnsi="Arial" w:cs="Arial"/>
                <w:sz w:val="20"/>
                <w:szCs w:val="20"/>
              </w:rPr>
              <w:t xml:space="preserve"> removed as it is redundant. It was originally adopted to reinforce the supplier categorisation associated with targeted Section 10 of the Standards. </w:t>
            </w:r>
          </w:p>
          <w:p w14:paraId="60F69CD7" w14:textId="77777777" w:rsidR="0041736A" w:rsidRPr="0041736A" w:rsidRDefault="0041736A" w:rsidP="0041736A">
            <w:pPr>
              <w:pStyle w:val="NoSpacing"/>
              <w:rPr>
                <w:rFonts w:ascii="Arial" w:hAnsi="Arial" w:cs="Arial"/>
                <w:sz w:val="20"/>
                <w:szCs w:val="20"/>
              </w:rPr>
            </w:pPr>
          </w:p>
          <w:p w14:paraId="6F397F5F" w14:textId="060690CB" w:rsidR="00B50065" w:rsidRDefault="00B50065" w:rsidP="0041736A">
            <w:pPr>
              <w:pStyle w:val="NoSpacing"/>
              <w:rPr>
                <w:rFonts w:ascii="Arial" w:hAnsi="Arial" w:cs="Arial"/>
                <w:color w:val="000000"/>
                <w:sz w:val="20"/>
                <w:szCs w:val="20"/>
              </w:rPr>
            </w:pPr>
            <w:r w:rsidRPr="0041736A">
              <w:rPr>
                <w:rFonts w:ascii="Arial" w:hAnsi="Arial" w:cs="Arial"/>
                <w:color w:val="000000"/>
                <w:sz w:val="20"/>
                <w:szCs w:val="20"/>
              </w:rPr>
              <w:t xml:space="preserve">Section 12 (Rural Agricultural Drinking-Water Supplies) </w:t>
            </w:r>
            <w:r w:rsidR="0041736A">
              <w:rPr>
                <w:rFonts w:ascii="Arial" w:hAnsi="Arial" w:cs="Arial"/>
                <w:color w:val="000000"/>
                <w:sz w:val="20"/>
                <w:szCs w:val="20"/>
              </w:rPr>
              <w:t>has been</w:t>
            </w:r>
            <w:r w:rsidRPr="0041736A">
              <w:rPr>
                <w:rFonts w:ascii="Arial" w:hAnsi="Arial" w:cs="Arial"/>
                <w:color w:val="000000"/>
                <w:sz w:val="20"/>
                <w:szCs w:val="20"/>
              </w:rPr>
              <w:t xml:space="preserve"> deleted as detailed guidelines exist and the Standards do not contain substantive obligations. </w:t>
            </w:r>
            <w:r w:rsidR="0041736A">
              <w:rPr>
                <w:rFonts w:ascii="Arial" w:hAnsi="Arial" w:cs="Arial"/>
                <w:color w:val="000000"/>
                <w:sz w:val="20"/>
                <w:szCs w:val="20"/>
              </w:rPr>
              <w:t>As</w:t>
            </w:r>
            <w:r w:rsidRPr="0041736A">
              <w:rPr>
                <w:rFonts w:ascii="Arial" w:hAnsi="Arial" w:cs="Arial"/>
                <w:color w:val="000000"/>
                <w:sz w:val="20"/>
                <w:szCs w:val="20"/>
              </w:rPr>
              <w:t xml:space="preserve"> the current content is in the nature of a guideline, it is better suited to being addressed in the guidelines.  There is no impact on suppliers or communities as the guidelines already are in place.</w:t>
            </w:r>
          </w:p>
          <w:p w14:paraId="44ED5F69" w14:textId="77777777" w:rsidR="0041736A" w:rsidRPr="0041736A" w:rsidRDefault="0041736A" w:rsidP="0041736A">
            <w:pPr>
              <w:pStyle w:val="NoSpacing"/>
              <w:rPr>
                <w:rFonts w:ascii="Arial" w:hAnsi="Arial" w:cs="Arial"/>
                <w:sz w:val="20"/>
                <w:szCs w:val="20"/>
              </w:rPr>
            </w:pPr>
          </w:p>
          <w:p w14:paraId="0BD849FD" w14:textId="52FA8873" w:rsidR="00B50065" w:rsidRDefault="00B50065" w:rsidP="0041736A">
            <w:pPr>
              <w:pStyle w:val="NoSpacing"/>
              <w:rPr>
                <w:rFonts w:ascii="Arial" w:hAnsi="Arial" w:cs="Arial"/>
                <w:sz w:val="20"/>
                <w:szCs w:val="20"/>
              </w:rPr>
            </w:pPr>
            <w:r w:rsidRPr="0041736A">
              <w:rPr>
                <w:rFonts w:ascii="Arial" w:hAnsi="Arial" w:cs="Arial"/>
                <w:sz w:val="20"/>
                <w:szCs w:val="20"/>
              </w:rPr>
              <w:t xml:space="preserve">The prescriptive test process for determining the corrosiveness of water </w:t>
            </w:r>
            <w:r w:rsidR="0041736A">
              <w:rPr>
                <w:rFonts w:ascii="Arial" w:hAnsi="Arial" w:cs="Arial"/>
                <w:sz w:val="20"/>
                <w:szCs w:val="20"/>
              </w:rPr>
              <w:t>has been</w:t>
            </w:r>
            <w:r w:rsidRPr="0041736A">
              <w:rPr>
                <w:rFonts w:ascii="Arial" w:hAnsi="Arial" w:cs="Arial"/>
                <w:sz w:val="20"/>
                <w:szCs w:val="20"/>
              </w:rPr>
              <w:t xml:space="preserve"> moved to the drinking water guidelines as a more fitting location for the detailed procedure. Any updates or improvements to the procedure can be readily updated within the guideline to fit with best practice or new techniques. This </w:t>
            </w:r>
            <w:r w:rsidR="0041736A">
              <w:rPr>
                <w:rFonts w:ascii="Arial" w:hAnsi="Arial" w:cs="Arial"/>
                <w:sz w:val="20"/>
                <w:szCs w:val="20"/>
              </w:rPr>
              <w:t>does</w:t>
            </w:r>
            <w:r w:rsidRPr="0041736A">
              <w:rPr>
                <w:rFonts w:ascii="Arial" w:hAnsi="Arial" w:cs="Arial"/>
                <w:sz w:val="20"/>
                <w:szCs w:val="20"/>
              </w:rPr>
              <w:t xml:space="preserve"> not reduce protections for the public or affect compliance costs. </w:t>
            </w:r>
          </w:p>
          <w:p w14:paraId="70518362" w14:textId="77777777" w:rsidR="0041736A" w:rsidRPr="0041736A" w:rsidRDefault="0041736A" w:rsidP="0041736A">
            <w:pPr>
              <w:pStyle w:val="NoSpacing"/>
              <w:rPr>
                <w:rFonts w:ascii="Arial" w:hAnsi="Arial" w:cs="Arial"/>
                <w:sz w:val="20"/>
                <w:szCs w:val="20"/>
              </w:rPr>
            </w:pPr>
          </w:p>
          <w:p w14:paraId="21191F2D" w14:textId="4F3E4C5F" w:rsidR="00B50065" w:rsidRDefault="00B50065" w:rsidP="0041736A">
            <w:pPr>
              <w:pStyle w:val="NoSpacing"/>
              <w:rPr>
                <w:rFonts w:ascii="Arial" w:hAnsi="Arial" w:cs="Arial"/>
                <w:sz w:val="20"/>
                <w:szCs w:val="20"/>
              </w:rPr>
            </w:pPr>
            <w:r w:rsidRPr="0041736A">
              <w:rPr>
                <w:rFonts w:ascii="Arial" w:hAnsi="Arial" w:cs="Arial"/>
                <w:color w:val="000000"/>
                <w:sz w:val="20"/>
                <w:szCs w:val="20"/>
              </w:rPr>
              <w:t>The</w:t>
            </w:r>
            <w:r w:rsidRPr="0041736A">
              <w:rPr>
                <w:rFonts w:ascii="Arial" w:hAnsi="Arial" w:cs="Arial"/>
                <w:sz w:val="20"/>
                <w:szCs w:val="20"/>
              </w:rPr>
              <w:t xml:space="preserve"> prescriptive methods which standardise the testing approach used by different laboratories in analysing drinking water </w:t>
            </w:r>
            <w:r w:rsidR="0041736A">
              <w:rPr>
                <w:rFonts w:ascii="Arial" w:hAnsi="Arial" w:cs="Arial"/>
                <w:sz w:val="20"/>
                <w:szCs w:val="20"/>
              </w:rPr>
              <w:t>have been</w:t>
            </w:r>
            <w:r w:rsidRPr="0041736A">
              <w:rPr>
                <w:rFonts w:ascii="Arial" w:hAnsi="Arial" w:cs="Arial"/>
                <w:sz w:val="20"/>
                <w:szCs w:val="20"/>
              </w:rPr>
              <w:t xml:space="preserve"> removed, as these are managed by IANZ who assess the methods used by testing </w:t>
            </w:r>
            <w:r w:rsidRPr="0041736A">
              <w:rPr>
                <w:rFonts w:ascii="Arial" w:hAnsi="Arial" w:cs="Arial"/>
                <w:sz w:val="20"/>
                <w:szCs w:val="20"/>
              </w:rPr>
              <w:lastRenderedPageBreak/>
              <w:t xml:space="preserve">laboratories.  Inclusion in the Standards is inappropriate, as the Standards are a document for water suppliers, not laboratories. Furthermore, the requirements </w:t>
            </w:r>
            <w:r w:rsidR="0041736A">
              <w:rPr>
                <w:rFonts w:ascii="Arial" w:hAnsi="Arial" w:cs="Arial"/>
                <w:sz w:val="20"/>
                <w:szCs w:val="20"/>
              </w:rPr>
              <w:t>we</w:t>
            </w:r>
            <w:r w:rsidRPr="0041736A">
              <w:rPr>
                <w:rFonts w:ascii="Arial" w:hAnsi="Arial" w:cs="Arial"/>
                <w:sz w:val="20"/>
                <w:szCs w:val="20"/>
              </w:rPr>
              <w:t xml:space="preserve">re out of date. </w:t>
            </w:r>
          </w:p>
          <w:p w14:paraId="039B26BC" w14:textId="299DAD96" w:rsidR="0041736A" w:rsidRPr="0041736A" w:rsidRDefault="0041736A" w:rsidP="0041736A">
            <w:pPr>
              <w:pStyle w:val="NoSpacing"/>
              <w:rPr>
                <w:rFonts w:ascii="Arial" w:hAnsi="Arial" w:cs="Arial"/>
                <w:sz w:val="20"/>
                <w:szCs w:val="20"/>
              </w:rPr>
            </w:pPr>
          </w:p>
        </w:tc>
      </w:tr>
      <w:tr w:rsidR="00B50065" w:rsidRPr="00AA32AD" w14:paraId="19F49170" w14:textId="77777777" w:rsidTr="007937FF">
        <w:tc>
          <w:tcPr>
            <w:tcW w:w="6120" w:type="dxa"/>
          </w:tcPr>
          <w:p w14:paraId="45D6A143" w14:textId="77777777" w:rsidR="00B50065" w:rsidRPr="0041736A" w:rsidRDefault="00B50065" w:rsidP="0041736A">
            <w:pPr>
              <w:pStyle w:val="NoSpacing"/>
              <w:rPr>
                <w:rFonts w:ascii="Arial" w:hAnsi="Arial" w:cs="Arial"/>
                <w:sz w:val="20"/>
                <w:szCs w:val="20"/>
              </w:rPr>
            </w:pPr>
            <w:r w:rsidRPr="0041736A">
              <w:rPr>
                <w:rFonts w:ascii="Arial" w:hAnsi="Arial" w:cs="Arial"/>
                <w:sz w:val="20"/>
                <w:szCs w:val="20"/>
              </w:rPr>
              <w:lastRenderedPageBreak/>
              <w:t>4. New content to add clarity to existing standards</w:t>
            </w:r>
          </w:p>
          <w:p w14:paraId="55F56B5E" w14:textId="77777777" w:rsidR="00B50065" w:rsidRPr="0041736A" w:rsidRDefault="00B50065" w:rsidP="0041736A">
            <w:pPr>
              <w:pStyle w:val="NoSpacing"/>
              <w:numPr>
                <w:ilvl w:val="0"/>
                <w:numId w:val="28"/>
              </w:numPr>
              <w:rPr>
                <w:rFonts w:ascii="Arial" w:hAnsi="Arial" w:cs="Arial"/>
                <w:sz w:val="20"/>
                <w:szCs w:val="20"/>
              </w:rPr>
            </w:pPr>
            <w:r w:rsidRPr="0041736A">
              <w:rPr>
                <w:rFonts w:ascii="Arial" w:hAnsi="Arial" w:cs="Arial"/>
                <w:sz w:val="20"/>
                <w:szCs w:val="20"/>
              </w:rPr>
              <w:t>Clarifying figures and tables – e.g. ensuring that terms used in figures are explained and are used consistently</w:t>
            </w:r>
          </w:p>
          <w:p w14:paraId="4324E1CB" w14:textId="6BD756B6" w:rsidR="00B50065" w:rsidRPr="0041736A" w:rsidRDefault="00B50065" w:rsidP="0041736A">
            <w:pPr>
              <w:pStyle w:val="NoSpacing"/>
              <w:numPr>
                <w:ilvl w:val="0"/>
                <w:numId w:val="28"/>
              </w:numPr>
              <w:rPr>
                <w:rFonts w:ascii="Arial" w:hAnsi="Arial" w:cs="Arial"/>
                <w:sz w:val="20"/>
                <w:szCs w:val="20"/>
              </w:rPr>
            </w:pPr>
            <w:r w:rsidRPr="0041736A">
              <w:rPr>
                <w:rFonts w:ascii="Arial" w:hAnsi="Arial" w:cs="Arial"/>
                <w:sz w:val="20"/>
                <w:szCs w:val="20"/>
              </w:rPr>
              <w:t xml:space="preserve">Information added to clarify existing standards – to ensure the requirement to meet a standard is explicit. </w:t>
            </w:r>
            <w:r w:rsidR="0041736A">
              <w:rPr>
                <w:rFonts w:ascii="Arial" w:hAnsi="Arial" w:cs="Arial"/>
                <w:sz w:val="20"/>
                <w:szCs w:val="20"/>
              </w:rPr>
              <w:t>T</w:t>
            </w:r>
            <w:r w:rsidRPr="0041736A">
              <w:rPr>
                <w:rFonts w:ascii="Arial" w:hAnsi="Arial" w:cs="Arial"/>
                <w:sz w:val="20"/>
                <w:szCs w:val="20"/>
              </w:rPr>
              <w:t xml:space="preserve">hese changes do not alter obligations, but ensure there is no uncertainty </w:t>
            </w:r>
            <w:r w:rsidR="0041736A">
              <w:rPr>
                <w:rFonts w:ascii="Arial" w:hAnsi="Arial" w:cs="Arial"/>
                <w:sz w:val="20"/>
                <w:szCs w:val="20"/>
              </w:rPr>
              <w:t>in</w:t>
            </w:r>
            <w:r w:rsidRPr="0041736A">
              <w:rPr>
                <w:rFonts w:ascii="Arial" w:hAnsi="Arial" w:cs="Arial"/>
                <w:sz w:val="20"/>
                <w:szCs w:val="20"/>
              </w:rPr>
              <w:t xml:space="preserve"> meeting the requirement.</w:t>
            </w:r>
          </w:p>
        </w:tc>
        <w:tc>
          <w:tcPr>
            <w:tcW w:w="14809" w:type="dxa"/>
          </w:tcPr>
          <w:p w14:paraId="0A96F972" w14:textId="77777777" w:rsidR="0041736A" w:rsidRDefault="0041736A" w:rsidP="0041736A">
            <w:pPr>
              <w:spacing w:after="120"/>
              <w:rPr>
                <w:rFonts w:cs="Arial"/>
                <w:szCs w:val="20"/>
              </w:rPr>
            </w:pPr>
          </w:p>
          <w:p w14:paraId="5CEC3978" w14:textId="77777777" w:rsidR="0041736A" w:rsidRDefault="0041736A" w:rsidP="0041736A">
            <w:pPr>
              <w:spacing w:after="120"/>
              <w:rPr>
                <w:rFonts w:cs="Arial"/>
                <w:szCs w:val="20"/>
              </w:rPr>
            </w:pPr>
          </w:p>
          <w:p w14:paraId="78F7111E" w14:textId="6878BB9B" w:rsidR="00B50065" w:rsidRPr="0041736A" w:rsidRDefault="00B50065" w:rsidP="0041736A">
            <w:pPr>
              <w:spacing w:after="120"/>
              <w:rPr>
                <w:rFonts w:cs="Arial"/>
                <w:szCs w:val="20"/>
              </w:rPr>
            </w:pPr>
            <w:r w:rsidRPr="0041736A">
              <w:rPr>
                <w:rFonts w:cs="Arial"/>
                <w:szCs w:val="20"/>
              </w:rPr>
              <w:t>The cartridge filtration template from Chapter 8 of the Guidelines has been incorporated into section 5.12. This is clarifies existing requirements for the performance of cartridge filters.</w:t>
            </w:r>
          </w:p>
          <w:p w14:paraId="3958AD13" w14:textId="77777777" w:rsidR="00B50065" w:rsidRPr="004E2EB9" w:rsidRDefault="00B50065" w:rsidP="007937FF">
            <w:pPr>
              <w:rPr>
                <w:rFonts w:cs="Arial"/>
                <w:szCs w:val="20"/>
              </w:rPr>
            </w:pPr>
          </w:p>
        </w:tc>
      </w:tr>
      <w:tr w:rsidR="00B50065" w:rsidRPr="00AA32AD" w14:paraId="53B3C6DC" w14:textId="77777777" w:rsidTr="007937FF">
        <w:tc>
          <w:tcPr>
            <w:tcW w:w="6120" w:type="dxa"/>
          </w:tcPr>
          <w:p w14:paraId="567C3FDE" w14:textId="77777777" w:rsidR="00B50065" w:rsidRPr="0041736A" w:rsidRDefault="00B50065" w:rsidP="0041736A">
            <w:pPr>
              <w:pStyle w:val="NoSpacing"/>
              <w:rPr>
                <w:rFonts w:ascii="Arial" w:hAnsi="Arial" w:cs="Arial"/>
                <w:sz w:val="20"/>
                <w:szCs w:val="20"/>
              </w:rPr>
            </w:pPr>
            <w:r w:rsidRPr="0041736A">
              <w:rPr>
                <w:rFonts w:ascii="Arial" w:hAnsi="Arial" w:cs="Arial"/>
                <w:sz w:val="20"/>
                <w:szCs w:val="20"/>
              </w:rPr>
              <w:t>5. Simplification of how standards are expressed</w:t>
            </w:r>
          </w:p>
          <w:p w14:paraId="77AAFABE" w14:textId="0368D9D0" w:rsidR="00B50065" w:rsidRPr="0041736A" w:rsidRDefault="00B50065" w:rsidP="0041736A">
            <w:pPr>
              <w:pStyle w:val="NoSpacing"/>
              <w:numPr>
                <w:ilvl w:val="0"/>
                <w:numId w:val="12"/>
              </w:numPr>
              <w:rPr>
                <w:rFonts w:ascii="Arial" w:hAnsi="Arial" w:cs="Arial"/>
                <w:sz w:val="20"/>
                <w:szCs w:val="20"/>
              </w:rPr>
            </w:pPr>
            <w:r w:rsidRPr="0041736A">
              <w:rPr>
                <w:rFonts w:ascii="Arial" w:hAnsi="Arial" w:cs="Arial"/>
                <w:sz w:val="20"/>
                <w:szCs w:val="20"/>
              </w:rPr>
              <w:t xml:space="preserve">Some sections rewritten for ease of understanding. </w:t>
            </w:r>
            <w:r w:rsidR="0041736A">
              <w:rPr>
                <w:rFonts w:ascii="Arial" w:hAnsi="Arial" w:cs="Arial"/>
                <w:sz w:val="20"/>
                <w:szCs w:val="20"/>
              </w:rPr>
              <w:t>T</w:t>
            </w:r>
            <w:r w:rsidRPr="0041736A">
              <w:rPr>
                <w:rFonts w:ascii="Arial" w:hAnsi="Arial" w:cs="Arial"/>
                <w:sz w:val="20"/>
                <w:szCs w:val="20"/>
              </w:rPr>
              <w:t xml:space="preserve">hese do not alter obligations. </w:t>
            </w:r>
          </w:p>
        </w:tc>
        <w:tc>
          <w:tcPr>
            <w:tcW w:w="14809" w:type="dxa"/>
          </w:tcPr>
          <w:p w14:paraId="756235B8" w14:textId="77777777" w:rsidR="00B50065" w:rsidRPr="004E2EB9" w:rsidRDefault="00B50065" w:rsidP="007937FF">
            <w:pPr>
              <w:rPr>
                <w:rFonts w:cs="Arial"/>
                <w:szCs w:val="20"/>
              </w:rPr>
            </w:pPr>
          </w:p>
        </w:tc>
      </w:tr>
    </w:tbl>
    <w:p w14:paraId="2CF8FF61" w14:textId="2D6425D2" w:rsidR="00AF5454" w:rsidRPr="00747F0A" w:rsidRDefault="00AF5454" w:rsidP="004E2EB9">
      <w:pPr>
        <w:pStyle w:val="NoSpacing"/>
        <w:rPr>
          <w:rFonts w:ascii="Arial" w:hAnsi="Arial" w:cs="Arial"/>
          <w:sz w:val="22"/>
          <w:szCs w:val="22"/>
        </w:rPr>
      </w:pPr>
    </w:p>
    <w:p w14:paraId="4096FCFC" w14:textId="4469DCB4" w:rsidR="00747F0A" w:rsidRPr="00747F0A" w:rsidRDefault="00747F0A" w:rsidP="004E2EB9">
      <w:pPr>
        <w:pStyle w:val="NoSpacing"/>
        <w:rPr>
          <w:rFonts w:ascii="Arial" w:hAnsi="Arial" w:cs="Arial"/>
          <w:b/>
          <w:sz w:val="22"/>
          <w:szCs w:val="22"/>
        </w:rPr>
      </w:pPr>
      <w:r w:rsidRPr="00747F0A">
        <w:rPr>
          <w:rFonts w:ascii="Arial" w:hAnsi="Arial" w:cs="Arial"/>
          <w:b/>
          <w:sz w:val="22"/>
          <w:szCs w:val="22"/>
        </w:rPr>
        <w:t xml:space="preserve">Comprehensive review of the Standards </w:t>
      </w:r>
      <w:r>
        <w:rPr>
          <w:rFonts w:ascii="Arial" w:hAnsi="Arial" w:cs="Arial"/>
          <w:b/>
          <w:sz w:val="22"/>
          <w:szCs w:val="22"/>
        </w:rPr>
        <w:t>und</w:t>
      </w:r>
      <w:r w:rsidRPr="00747F0A">
        <w:rPr>
          <w:rFonts w:ascii="Arial" w:hAnsi="Arial" w:cs="Arial"/>
          <w:b/>
          <w:sz w:val="22"/>
          <w:szCs w:val="22"/>
        </w:rPr>
        <w:t>erway</w:t>
      </w:r>
    </w:p>
    <w:p w14:paraId="3F304B8D" w14:textId="77777777" w:rsidR="00747F0A" w:rsidRPr="00747F0A" w:rsidRDefault="00747F0A" w:rsidP="00747F0A">
      <w:pPr>
        <w:jc w:val="both"/>
        <w:rPr>
          <w:rFonts w:eastAsiaTheme="minorHAnsi" w:cs="Arial"/>
          <w:color w:val="000000"/>
          <w:szCs w:val="22"/>
          <w:lang w:eastAsia="en-US"/>
        </w:rPr>
      </w:pPr>
      <w:r w:rsidRPr="00747F0A">
        <w:rPr>
          <w:rFonts w:eastAsiaTheme="minorHAnsi" w:cs="Arial"/>
          <w:color w:val="000000"/>
          <w:szCs w:val="22"/>
          <w:lang w:eastAsia="en-US"/>
        </w:rPr>
        <w:t xml:space="preserve">As the Minister noted in his media statement on 20 November 2018 </w:t>
      </w:r>
      <w:r w:rsidRPr="00747F0A">
        <w:rPr>
          <w:rFonts w:eastAsiaTheme="minorHAnsi" w:cs="Arial"/>
          <w:i/>
          <w:iCs/>
          <w:color w:val="000000"/>
          <w:szCs w:val="22"/>
          <w:lang w:eastAsia="en-US"/>
        </w:rPr>
        <w:t>“A comprehensive review of the Standards is also being carried out, led by an independent Drinking-Water Advisory Committee. I expect proposed changes from this review to be released for public consultation by mid-2019.”</w:t>
      </w:r>
    </w:p>
    <w:p w14:paraId="720D8480" w14:textId="77777777" w:rsidR="00747F0A" w:rsidRDefault="00747F0A" w:rsidP="004E2EB9">
      <w:pPr>
        <w:pStyle w:val="NoSpacing"/>
        <w:rPr>
          <w:rFonts w:ascii="Arial" w:hAnsi="Arial" w:cs="Arial"/>
          <w:sz w:val="22"/>
          <w:szCs w:val="22"/>
        </w:rPr>
      </w:pPr>
    </w:p>
    <w:p w14:paraId="2C44C72C" w14:textId="6599BE65" w:rsidR="00747F0A" w:rsidRPr="00747F0A" w:rsidRDefault="00747F0A" w:rsidP="004E2EB9">
      <w:pPr>
        <w:pStyle w:val="NoSpacing"/>
        <w:rPr>
          <w:rFonts w:ascii="Arial" w:hAnsi="Arial" w:cs="Arial"/>
          <w:sz w:val="22"/>
          <w:szCs w:val="22"/>
        </w:rPr>
      </w:pPr>
      <w:r>
        <w:rPr>
          <w:rFonts w:ascii="Arial" w:hAnsi="Arial" w:cs="Arial"/>
          <w:sz w:val="22"/>
          <w:szCs w:val="22"/>
        </w:rPr>
        <w:t>[ENDS]</w:t>
      </w:r>
    </w:p>
    <w:sectPr w:rsidR="00747F0A" w:rsidRPr="00747F0A" w:rsidSect="004E2EB9">
      <w:headerReference w:type="default" r:id="rId9"/>
      <w:footerReference w:type="default" r:id="rId10"/>
      <w:pgSz w:w="11907" w:h="16840" w:code="9"/>
      <w:pgMar w:top="1276" w:right="851" w:bottom="851" w:left="851"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5DE0A" w14:textId="77777777" w:rsidR="004E2EB9" w:rsidRDefault="004E2EB9" w:rsidP="00AF5454">
      <w:r>
        <w:separator/>
      </w:r>
    </w:p>
  </w:endnote>
  <w:endnote w:type="continuationSeparator" w:id="0">
    <w:p w14:paraId="108AAB45" w14:textId="77777777" w:rsidR="004E2EB9" w:rsidRDefault="004E2EB9" w:rsidP="00AF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New Roman Mäori">
    <w:altName w:val="Times New Roman"/>
    <w:charset w:val="00"/>
    <w:family w:val="roman"/>
    <w:pitch w:val="variable"/>
    <w:sig w:usb0="00000003" w:usb1="00000000" w:usb2="00000000" w:usb3="00000000" w:csb0="00000001" w:csb1="00000000"/>
  </w:font>
  <w:font w:name="GillSans">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8069" w14:textId="77777777" w:rsidR="004E2EB9" w:rsidRPr="008F4A4E" w:rsidRDefault="004E2EB9" w:rsidP="009449FC">
    <w:pPr>
      <w:pStyle w:val="Footer"/>
      <w:rPr>
        <w:rFonts w:cs="Arial"/>
      </w:rPr>
    </w:pPr>
    <w:r w:rsidRPr="008F4A4E">
      <w:rPr>
        <w:rFonts w:cs="Arial"/>
      </w:rPr>
      <w:t xml:space="preserve">Page </w:t>
    </w:r>
    <w:r w:rsidRPr="008F4A4E">
      <w:rPr>
        <w:rFonts w:cs="Arial"/>
      </w:rPr>
      <w:fldChar w:fldCharType="begin"/>
    </w:r>
    <w:r w:rsidRPr="008F4A4E">
      <w:rPr>
        <w:rFonts w:cs="Arial"/>
      </w:rPr>
      <w:instrText xml:space="preserve"> PAGE </w:instrText>
    </w:r>
    <w:r w:rsidRPr="008F4A4E">
      <w:rPr>
        <w:rFonts w:cs="Arial"/>
      </w:rPr>
      <w:fldChar w:fldCharType="separate"/>
    </w:r>
    <w:r w:rsidR="005940AB">
      <w:rPr>
        <w:rFonts w:cs="Arial"/>
        <w:noProof/>
      </w:rPr>
      <w:t>3</w:t>
    </w:r>
    <w:r w:rsidRPr="008F4A4E">
      <w:rPr>
        <w:rFonts w:cs="Arial"/>
      </w:rPr>
      <w:fldChar w:fldCharType="end"/>
    </w:r>
    <w:r w:rsidRPr="008F4A4E">
      <w:rPr>
        <w:rFonts w:cs="Arial"/>
      </w:rPr>
      <w:t xml:space="preserve"> of </w:t>
    </w:r>
    <w:r w:rsidRPr="008F4A4E">
      <w:rPr>
        <w:rFonts w:cs="Arial"/>
      </w:rPr>
      <w:fldChar w:fldCharType="begin"/>
    </w:r>
    <w:r w:rsidRPr="008F4A4E">
      <w:rPr>
        <w:rFonts w:cs="Arial"/>
      </w:rPr>
      <w:instrText xml:space="preserve"> NUMPAGES </w:instrText>
    </w:r>
    <w:r w:rsidRPr="008F4A4E">
      <w:rPr>
        <w:rFonts w:cs="Arial"/>
      </w:rPr>
      <w:fldChar w:fldCharType="separate"/>
    </w:r>
    <w:r w:rsidR="005940AB">
      <w:rPr>
        <w:rFonts w:cs="Arial"/>
        <w:noProof/>
      </w:rPr>
      <w:t>4</w:t>
    </w:r>
    <w:r w:rsidRPr="008F4A4E">
      <w:rPr>
        <w:rFonts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19583" w14:textId="77777777" w:rsidR="004E2EB9" w:rsidRDefault="004E2EB9" w:rsidP="00AF5454">
      <w:r>
        <w:separator/>
      </w:r>
    </w:p>
  </w:footnote>
  <w:footnote w:type="continuationSeparator" w:id="0">
    <w:p w14:paraId="1676D477" w14:textId="77777777" w:rsidR="004E2EB9" w:rsidRDefault="004E2EB9" w:rsidP="00AF5454">
      <w:r>
        <w:continuationSeparator/>
      </w:r>
    </w:p>
  </w:footnote>
  <w:footnote w:id="1">
    <w:p w14:paraId="0AE55040" w14:textId="66E55EC8" w:rsidR="004E2EB9" w:rsidRPr="00E1199F" w:rsidRDefault="004E2EB9" w:rsidP="00AF5454">
      <w:pPr>
        <w:pStyle w:val="FootnoteText"/>
        <w:rPr>
          <w:sz w:val="16"/>
          <w:szCs w:val="16"/>
        </w:rPr>
      </w:pPr>
      <w:r>
        <w:rPr>
          <w:rStyle w:val="FootnoteReference"/>
        </w:rPr>
        <w:footnoteRef/>
      </w:r>
      <w:r>
        <w:t xml:space="preserve"> </w:t>
      </w:r>
      <w:r w:rsidRPr="00E1199F">
        <w:rPr>
          <w:sz w:val="16"/>
          <w:szCs w:val="16"/>
        </w:rPr>
        <w:t xml:space="preserve">Coliforms are a broad class of bacteria found in our environment, not all of which present a risk to public health. </w:t>
      </w:r>
      <w:r w:rsidRPr="00E1199F">
        <w:rPr>
          <w:i/>
          <w:sz w:val="16"/>
          <w:szCs w:val="16"/>
        </w:rPr>
        <w:t>Total coliforms</w:t>
      </w:r>
      <w:r w:rsidRPr="00E1199F">
        <w:rPr>
          <w:sz w:val="16"/>
          <w:szCs w:val="16"/>
        </w:rPr>
        <w:t xml:space="preserve"> include bacteria that are found in the soil, in water that has been influenced by surface water, and in human or animal waste. </w:t>
      </w:r>
      <w:r w:rsidRPr="00E1199F">
        <w:rPr>
          <w:i/>
          <w:sz w:val="16"/>
          <w:szCs w:val="16"/>
        </w:rPr>
        <w:t>Faecal coliforms</w:t>
      </w:r>
      <w:r w:rsidRPr="00E1199F">
        <w:rPr>
          <w:sz w:val="16"/>
          <w:szCs w:val="16"/>
        </w:rPr>
        <w:t xml:space="preserve"> are the subset of the total coliforms that are present in the gut and faeces of animals, and may be disease-causing.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B0C25" w14:textId="31617CE2" w:rsidR="004E2EB9" w:rsidRDefault="004E2EB9">
    <w:pPr>
      <w:pStyle w:val="Header"/>
    </w:pPr>
    <w:r>
      <w:rPr>
        <w:noProof/>
        <w:lang w:eastAsia="en-NZ"/>
      </w:rPr>
      <w:drawing>
        <wp:inline distT="0" distB="0" distL="0" distR="0" wp14:anchorId="0400C9B7" wp14:editId="478676EA">
          <wp:extent cx="6480175" cy="330982"/>
          <wp:effectExtent l="0" t="0" r="0" b="0"/>
          <wp:docPr id="6" name="Picture 6"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6611" t="43268" r="6694" b="11781"/>
                  <a:stretch/>
                </pic:blipFill>
                <pic:spPr bwMode="auto">
                  <a:xfrm>
                    <a:off x="0" y="0"/>
                    <a:ext cx="6480175" cy="33098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9BF"/>
    <w:multiLevelType w:val="hybridMultilevel"/>
    <w:tmpl w:val="497CA5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005454"/>
    <w:multiLevelType w:val="hybridMultilevel"/>
    <w:tmpl w:val="7E4A7D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77534C5"/>
    <w:multiLevelType w:val="multilevel"/>
    <w:tmpl w:val="69D4508C"/>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650A34"/>
    <w:multiLevelType w:val="hybridMultilevel"/>
    <w:tmpl w:val="4A38C1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61C5715"/>
    <w:multiLevelType w:val="hybridMultilevel"/>
    <w:tmpl w:val="1DE431A0"/>
    <w:lvl w:ilvl="0" w:tplc="5E36C380">
      <w:start w:val="26"/>
      <w:numFmt w:val="decimal"/>
      <w:lvlText w:val="%1."/>
      <w:lvlJc w:val="left"/>
      <w:pPr>
        <w:ind w:left="785" w:hanging="360"/>
      </w:pPr>
      <w:rPr>
        <w:rFonts w:hint="default"/>
      </w:rPr>
    </w:lvl>
    <w:lvl w:ilvl="1" w:tplc="14090001">
      <w:start w:val="1"/>
      <w:numFmt w:val="bullet"/>
      <w:lvlText w:val=""/>
      <w:lvlJc w:val="left"/>
      <w:pPr>
        <w:ind w:left="1298" w:hanging="360"/>
      </w:pPr>
      <w:rPr>
        <w:rFonts w:ascii="Symbol" w:hAnsi="Symbol" w:hint="default"/>
      </w:r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5" w15:restartNumberingAfterBreak="0">
    <w:nsid w:val="1F4F4A5B"/>
    <w:multiLevelType w:val="hybridMultilevel"/>
    <w:tmpl w:val="9486564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6" w15:restartNumberingAfterBreak="0">
    <w:nsid w:val="22474752"/>
    <w:multiLevelType w:val="hybridMultilevel"/>
    <w:tmpl w:val="956830EC"/>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7" w15:restartNumberingAfterBreak="0">
    <w:nsid w:val="27D426CD"/>
    <w:multiLevelType w:val="hybridMultilevel"/>
    <w:tmpl w:val="9564B896"/>
    <w:lvl w:ilvl="0" w:tplc="129434E2">
      <w:start w:val="1"/>
      <w:numFmt w:val="bullet"/>
      <w:pStyle w:val="Dash"/>
      <w:lvlText w:val="–"/>
      <w:lvlJc w:val="left"/>
      <w:pPr>
        <w:ind w:left="720" w:hanging="360"/>
      </w:pPr>
      <w:rPr>
        <w:rFonts w:ascii="Georgia" w:hAnsi="Georgia"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140856"/>
    <w:multiLevelType w:val="hybridMultilevel"/>
    <w:tmpl w:val="7EE4869E"/>
    <w:lvl w:ilvl="0" w:tplc="DF2C1BB8">
      <w:start w:val="1"/>
      <w:numFmt w:val="lowerRoman"/>
      <w:lvlText w:val="%1."/>
      <w:lvlJc w:val="right"/>
      <w:pPr>
        <w:ind w:left="720" w:hanging="360"/>
      </w:pPr>
      <w:rPr>
        <w:b w:val="0"/>
      </w:rPr>
    </w:lvl>
    <w:lvl w:ilvl="1" w:tplc="14090019">
      <w:start w:val="1"/>
      <w:numFmt w:val="lowerLetter"/>
      <w:lvlText w:val="%2."/>
      <w:lvlJc w:val="left"/>
      <w:pPr>
        <w:ind w:left="1440" w:hanging="360"/>
      </w:pPr>
      <w:rPr>
        <w:b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FE05514"/>
    <w:multiLevelType w:val="hybridMultilevel"/>
    <w:tmpl w:val="39FA81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D0F99"/>
    <w:multiLevelType w:val="hybridMultilevel"/>
    <w:tmpl w:val="30BE57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A2A0B02"/>
    <w:multiLevelType w:val="hybridMultilevel"/>
    <w:tmpl w:val="1FEADA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2B2700D"/>
    <w:multiLevelType w:val="hybridMultilevel"/>
    <w:tmpl w:val="F44C952A"/>
    <w:lvl w:ilvl="0" w:tplc="8CA2CCC6">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tplc="14090017">
      <w:start w:val="1"/>
      <w:numFmt w:val="lowerLetter"/>
      <w:lvlText w:val="%2)"/>
      <w:lvlJc w:val="left"/>
      <w:pPr>
        <w:tabs>
          <w:tab w:val="num" w:pos="1069"/>
        </w:tabs>
        <w:ind w:left="1069"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11F16"/>
    <w:multiLevelType w:val="hybridMultilevel"/>
    <w:tmpl w:val="716A4EA8"/>
    <w:lvl w:ilvl="0" w:tplc="8CA2CCC6">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tplc="14090017">
      <w:start w:val="1"/>
      <w:numFmt w:val="lowerLetter"/>
      <w:lvlText w:val="%2)"/>
      <w:lvlJc w:val="left"/>
      <w:pPr>
        <w:tabs>
          <w:tab w:val="num" w:pos="1069"/>
        </w:tabs>
        <w:ind w:left="1069"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7E65DB"/>
    <w:multiLevelType w:val="hybridMultilevel"/>
    <w:tmpl w:val="C2A0F9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E8045F3"/>
    <w:multiLevelType w:val="hybridMultilevel"/>
    <w:tmpl w:val="832E08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0853FAE"/>
    <w:multiLevelType w:val="hybridMultilevel"/>
    <w:tmpl w:val="8932EB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4B433E9"/>
    <w:multiLevelType w:val="hybridMultilevel"/>
    <w:tmpl w:val="5D5266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B093FFC"/>
    <w:multiLevelType w:val="hybridMultilevel"/>
    <w:tmpl w:val="F488A3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0D800D0"/>
    <w:multiLevelType w:val="hybridMultilevel"/>
    <w:tmpl w:val="744CFE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56F2E4E"/>
    <w:multiLevelType w:val="hybridMultilevel"/>
    <w:tmpl w:val="662C0B1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8B127D5"/>
    <w:multiLevelType w:val="hybridMultilevel"/>
    <w:tmpl w:val="94086E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D8F5B3B"/>
    <w:multiLevelType w:val="multilevel"/>
    <w:tmpl w:val="8F984836"/>
    <w:lvl w:ilvl="0">
      <w:start w:val="1"/>
      <w:numFmt w:val="decimal"/>
      <w:pStyle w:val="Number"/>
      <w:lvlText w:val="%1."/>
      <w:lvlJc w:val="left"/>
      <w:pPr>
        <w:ind w:left="567" w:hanging="567"/>
      </w:pPr>
      <w:rPr>
        <w:rFonts w:hint="default"/>
        <w:b w:val="0"/>
        <w:i w:val="0"/>
      </w:rPr>
    </w:lvl>
    <w:lvl w:ilvl="1">
      <w:start w:val="1"/>
      <w:numFmt w:val="bullet"/>
      <w:pStyle w:val="Letter"/>
      <w:lvlText w:val=""/>
      <w:lvlJc w:val="left"/>
      <w:pPr>
        <w:ind w:left="1134" w:hanging="567"/>
      </w:pPr>
      <w:rPr>
        <w:rFonts w:ascii="Symbol" w:hAnsi="Symbol" w:hint="default"/>
        <w:sz w:val="18"/>
        <w:szCs w:val="18"/>
      </w:rPr>
    </w:lvl>
    <w:lvl w:ilvl="2">
      <w:start w:val="1"/>
      <w:numFmt w:val="lowerRoman"/>
      <w:pStyle w:val="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F6670E2"/>
    <w:multiLevelType w:val="multilevel"/>
    <w:tmpl w:val="69D4508C"/>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CC61A4A"/>
    <w:multiLevelType w:val="hybridMultilevel"/>
    <w:tmpl w:val="7BEC914E"/>
    <w:lvl w:ilvl="0" w:tplc="8CA2CCC6">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tplc="967EF91A">
      <w:start w:val="1"/>
      <w:numFmt w:val="bullet"/>
      <w:lvlText w:val="─"/>
      <w:lvlJc w:val="left"/>
      <w:pPr>
        <w:tabs>
          <w:tab w:val="num" w:pos="1069"/>
        </w:tabs>
        <w:ind w:left="1069"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23"/>
  </w:num>
  <w:num w:numId="4">
    <w:abstractNumId w:val="2"/>
  </w:num>
  <w:num w:numId="5">
    <w:abstractNumId w:val="24"/>
  </w:num>
  <w:num w:numId="6">
    <w:abstractNumId w:val="22"/>
  </w:num>
  <w:num w:numId="7">
    <w:abstractNumId w:val="20"/>
  </w:num>
  <w:num w:numId="8">
    <w:abstractNumId w:val="4"/>
  </w:num>
  <w:num w:numId="9">
    <w:abstractNumId w:val="14"/>
  </w:num>
  <w:num w:numId="10">
    <w:abstractNumId w:val="11"/>
  </w:num>
  <w:num w:numId="11">
    <w:abstractNumId w:val="16"/>
  </w:num>
  <w:num w:numId="12">
    <w:abstractNumId w:val="1"/>
  </w:num>
  <w:num w:numId="13">
    <w:abstractNumId w:val="0"/>
  </w:num>
  <w:num w:numId="14">
    <w:abstractNumId w:val="5"/>
  </w:num>
  <w:num w:numId="15">
    <w:abstractNumId w:val="21"/>
  </w:num>
  <w:num w:numId="16">
    <w:abstractNumId w:val="8"/>
  </w:num>
  <w:num w:numId="17">
    <w:abstractNumId w:val="6"/>
  </w:num>
  <w:num w:numId="18">
    <w:abstractNumId w:val="15"/>
  </w:num>
  <w:num w:numId="19">
    <w:abstractNumId w:val="12"/>
  </w:num>
  <w:num w:numId="20">
    <w:abstractNumId w:val="25"/>
  </w:num>
  <w:num w:numId="21">
    <w:abstractNumId w:val="23"/>
  </w:num>
  <w:num w:numId="22">
    <w:abstractNumId w:val="23"/>
  </w:num>
  <w:num w:numId="23">
    <w:abstractNumId w:val="13"/>
  </w:num>
  <w:num w:numId="24">
    <w:abstractNumId w:val="3"/>
  </w:num>
  <w:num w:numId="25">
    <w:abstractNumId w:val="18"/>
  </w:num>
  <w:num w:numId="26">
    <w:abstractNumId w:val="19"/>
  </w:num>
  <w:num w:numId="27">
    <w:abstractNumId w:val="17"/>
  </w:num>
  <w:num w:numId="2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54"/>
    <w:rsid w:val="000406AE"/>
    <w:rsid w:val="00063E48"/>
    <w:rsid w:val="0009261D"/>
    <w:rsid w:val="000946E6"/>
    <w:rsid w:val="000A4FF2"/>
    <w:rsid w:val="000B39BA"/>
    <w:rsid w:val="000B6273"/>
    <w:rsid w:val="000D2BC6"/>
    <w:rsid w:val="000F4880"/>
    <w:rsid w:val="001000EA"/>
    <w:rsid w:val="0010463E"/>
    <w:rsid w:val="0011655C"/>
    <w:rsid w:val="0012701A"/>
    <w:rsid w:val="00183A86"/>
    <w:rsid w:val="001977CC"/>
    <w:rsid w:val="001A04CA"/>
    <w:rsid w:val="001B6F41"/>
    <w:rsid w:val="001F2762"/>
    <w:rsid w:val="001F367A"/>
    <w:rsid w:val="00221A74"/>
    <w:rsid w:val="00224C3F"/>
    <w:rsid w:val="002325F1"/>
    <w:rsid w:val="00271165"/>
    <w:rsid w:val="002735C3"/>
    <w:rsid w:val="00296882"/>
    <w:rsid w:val="002A1344"/>
    <w:rsid w:val="002B07AF"/>
    <w:rsid w:val="002D6E18"/>
    <w:rsid w:val="002E0262"/>
    <w:rsid w:val="002E05B0"/>
    <w:rsid w:val="00313375"/>
    <w:rsid w:val="00314FD3"/>
    <w:rsid w:val="00332A0C"/>
    <w:rsid w:val="00332B07"/>
    <w:rsid w:val="00344905"/>
    <w:rsid w:val="00395E26"/>
    <w:rsid w:val="003A5FD5"/>
    <w:rsid w:val="003C6AED"/>
    <w:rsid w:val="003D7101"/>
    <w:rsid w:val="003F1F73"/>
    <w:rsid w:val="004015B8"/>
    <w:rsid w:val="004046DE"/>
    <w:rsid w:val="0041736A"/>
    <w:rsid w:val="00422AC8"/>
    <w:rsid w:val="00430E7F"/>
    <w:rsid w:val="0044229B"/>
    <w:rsid w:val="00473FC4"/>
    <w:rsid w:val="004A1106"/>
    <w:rsid w:val="004C2824"/>
    <w:rsid w:val="004C4BAD"/>
    <w:rsid w:val="004D6F31"/>
    <w:rsid w:val="004E2EB9"/>
    <w:rsid w:val="0050048E"/>
    <w:rsid w:val="0051355F"/>
    <w:rsid w:val="00514877"/>
    <w:rsid w:val="005255E9"/>
    <w:rsid w:val="00537112"/>
    <w:rsid w:val="005578B9"/>
    <w:rsid w:val="00577839"/>
    <w:rsid w:val="005852A6"/>
    <w:rsid w:val="005940AB"/>
    <w:rsid w:val="0059602C"/>
    <w:rsid w:val="00596FDF"/>
    <w:rsid w:val="005B43A0"/>
    <w:rsid w:val="005E2CA8"/>
    <w:rsid w:val="00603813"/>
    <w:rsid w:val="006208AA"/>
    <w:rsid w:val="00656AD2"/>
    <w:rsid w:val="00671DCD"/>
    <w:rsid w:val="00673553"/>
    <w:rsid w:val="006B1AAA"/>
    <w:rsid w:val="006B43C5"/>
    <w:rsid w:val="006C745D"/>
    <w:rsid w:val="006D01EA"/>
    <w:rsid w:val="006D4146"/>
    <w:rsid w:val="006F3781"/>
    <w:rsid w:val="007044B5"/>
    <w:rsid w:val="00724022"/>
    <w:rsid w:val="00735272"/>
    <w:rsid w:val="00745D53"/>
    <w:rsid w:val="0074719B"/>
    <w:rsid w:val="00747F0A"/>
    <w:rsid w:val="00763404"/>
    <w:rsid w:val="0078029F"/>
    <w:rsid w:val="007937FF"/>
    <w:rsid w:val="007B7F0D"/>
    <w:rsid w:val="007C6418"/>
    <w:rsid w:val="007D44AC"/>
    <w:rsid w:val="007F3C3F"/>
    <w:rsid w:val="007F7CD6"/>
    <w:rsid w:val="00823348"/>
    <w:rsid w:val="00826DF9"/>
    <w:rsid w:val="00832E00"/>
    <w:rsid w:val="00843056"/>
    <w:rsid w:val="00850CB8"/>
    <w:rsid w:val="008537E8"/>
    <w:rsid w:val="0086263C"/>
    <w:rsid w:val="0089605A"/>
    <w:rsid w:val="00897DB6"/>
    <w:rsid w:val="008A15DF"/>
    <w:rsid w:val="008A2C32"/>
    <w:rsid w:val="008D42CA"/>
    <w:rsid w:val="008E26DA"/>
    <w:rsid w:val="008F14C7"/>
    <w:rsid w:val="00907140"/>
    <w:rsid w:val="00907CAE"/>
    <w:rsid w:val="0091624C"/>
    <w:rsid w:val="009312DC"/>
    <w:rsid w:val="009449FC"/>
    <w:rsid w:val="009624EE"/>
    <w:rsid w:val="009A1CEA"/>
    <w:rsid w:val="009B6F37"/>
    <w:rsid w:val="009D1121"/>
    <w:rsid w:val="00A321F5"/>
    <w:rsid w:val="00A847EF"/>
    <w:rsid w:val="00AA6C0C"/>
    <w:rsid w:val="00AB262E"/>
    <w:rsid w:val="00AC7ED8"/>
    <w:rsid w:val="00AE29B7"/>
    <w:rsid w:val="00AE4232"/>
    <w:rsid w:val="00AF5454"/>
    <w:rsid w:val="00B02ABE"/>
    <w:rsid w:val="00B07B3F"/>
    <w:rsid w:val="00B231CB"/>
    <w:rsid w:val="00B2325B"/>
    <w:rsid w:val="00B37C6D"/>
    <w:rsid w:val="00B50065"/>
    <w:rsid w:val="00B50EE8"/>
    <w:rsid w:val="00BA1C70"/>
    <w:rsid w:val="00BA6D8F"/>
    <w:rsid w:val="00BB6A98"/>
    <w:rsid w:val="00BD5C2B"/>
    <w:rsid w:val="00BE0DFC"/>
    <w:rsid w:val="00BE55F6"/>
    <w:rsid w:val="00BE6F4D"/>
    <w:rsid w:val="00BF6906"/>
    <w:rsid w:val="00BF7D8D"/>
    <w:rsid w:val="00C07E7A"/>
    <w:rsid w:val="00C10BD7"/>
    <w:rsid w:val="00C17A9B"/>
    <w:rsid w:val="00C26811"/>
    <w:rsid w:val="00C6695F"/>
    <w:rsid w:val="00C847AF"/>
    <w:rsid w:val="00C959ED"/>
    <w:rsid w:val="00CB05D5"/>
    <w:rsid w:val="00CD108E"/>
    <w:rsid w:val="00CD260D"/>
    <w:rsid w:val="00CE6E05"/>
    <w:rsid w:val="00CE7B75"/>
    <w:rsid w:val="00CF7845"/>
    <w:rsid w:val="00D1175B"/>
    <w:rsid w:val="00D25783"/>
    <w:rsid w:val="00D32CD7"/>
    <w:rsid w:val="00D44ADA"/>
    <w:rsid w:val="00D50590"/>
    <w:rsid w:val="00D53A85"/>
    <w:rsid w:val="00D54F80"/>
    <w:rsid w:val="00D55404"/>
    <w:rsid w:val="00D66A06"/>
    <w:rsid w:val="00DA4CED"/>
    <w:rsid w:val="00DB287D"/>
    <w:rsid w:val="00DD0C90"/>
    <w:rsid w:val="00DD1C6A"/>
    <w:rsid w:val="00DF787B"/>
    <w:rsid w:val="00E1199F"/>
    <w:rsid w:val="00E22DD3"/>
    <w:rsid w:val="00E43A60"/>
    <w:rsid w:val="00E63684"/>
    <w:rsid w:val="00E662EB"/>
    <w:rsid w:val="00E7306F"/>
    <w:rsid w:val="00E84A07"/>
    <w:rsid w:val="00E953BE"/>
    <w:rsid w:val="00EB0CFD"/>
    <w:rsid w:val="00EE7A41"/>
    <w:rsid w:val="00F01F05"/>
    <w:rsid w:val="00F073A9"/>
    <w:rsid w:val="00F2623F"/>
    <w:rsid w:val="00F355E2"/>
    <w:rsid w:val="00F4242B"/>
    <w:rsid w:val="00F46127"/>
    <w:rsid w:val="00F507C2"/>
    <w:rsid w:val="00F56628"/>
    <w:rsid w:val="00F6075C"/>
    <w:rsid w:val="00F76ACD"/>
    <w:rsid w:val="00F76BA3"/>
    <w:rsid w:val="00F849E3"/>
    <w:rsid w:val="00F84CED"/>
    <w:rsid w:val="00F97050"/>
    <w:rsid w:val="00FB1A0F"/>
    <w:rsid w:val="00FB1F35"/>
    <w:rsid w:val="00FF484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CCAB"/>
  <w15:chartTrackingRefBased/>
  <w15:docId w15:val="{4F659FD7-90FF-4C2B-8EB1-A26EE7D7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454"/>
    <w:pPr>
      <w:spacing w:after="0" w:line="240" w:lineRule="auto"/>
    </w:pPr>
    <w:rPr>
      <w:rFonts w:ascii="Arial" w:eastAsia="Times New Roman" w:hAnsi="Arial" w:cs="Times"/>
      <w:szCs w:val="24"/>
      <w:lang w:eastAsia="en-GB"/>
    </w:rPr>
  </w:style>
  <w:style w:type="paragraph" w:styleId="Heading1">
    <w:name w:val="heading 1"/>
    <w:basedOn w:val="Normal"/>
    <w:next w:val="Normal"/>
    <w:link w:val="Heading1Char"/>
    <w:qFormat/>
    <w:rsid w:val="00AF5454"/>
    <w:pPr>
      <w:keepNext/>
      <w:spacing w:before="300" w:after="120"/>
      <w:outlineLvl w:val="0"/>
    </w:pPr>
    <w:rPr>
      <w:rFonts w:cs="Arial"/>
      <w:b/>
      <w:bCs/>
      <w:sz w:val="28"/>
      <w:szCs w:val="28"/>
    </w:rPr>
  </w:style>
  <w:style w:type="paragraph" w:styleId="Heading2">
    <w:name w:val="heading 2"/>
    <w:basedOn w:val="Normal"/>
    <w:next w:val="Normal"/>
    <w:link w:val="Heading2Char"/>
    <w:qFormat/>
    <w:rsid w:val="00AF5454"/>
    <w:pPr>
      <w:keepNext/>
      <w:spacing w:before="240" w:after="120"/>
      <w:outlineLvl w:val="1"/>
    </w:pPr>
    <w:rPr>
      <w:rFonts w:cs="Arial"/>
      <w:b/>
      <w:bCs/>
      <w:iCs/>
      <w:sz w:val="24"/>
      <w:szCs w:val="28"/>
    </w:rPr>
  </w:style>
  <w:style w:type="paragraph" w:styleId="Heading3">
    <w:name w:val="heading 3"/>
    <w:basedOn w:val="Normal"/>
    <w:next w:val="Normal"/>
    <w:link w:val="Heading3Char"/>
    <w:unhideWhenUsed/>
    <w:qFormat/>
    <w:rsid w:val="00AF5454"/>
    <w:pPr>
      <w:keepNext/>
      <w:spacing w:before="180"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AF5454"/>
    <w:pPr>
      <w:keepNext/>
      <w:spacing w:before="120" w:after="120"/>
      <w:outlineLvl w:val="3"/>
    </w:pPr>
    <w:rPr>
      <w:rFonts w:eastAsiaTheme="majorEastAsia" w:cstheme="majorBidi"/>
      <w:bCs/>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454"/>
    <w:rPr>
      <w:rFonts w:ascii="Arial" w:eastAsia="Times New Roman" w:hAnsi="Arial" w:cs="Arial"/>
      <w:b/>
      <w:bCs/>
      <w:sz w:val="28"/>
      <w:szCs w:val="28"/>
      <w:lang w:eastAsia="en-GB"/>
    </w:rPr>
  </w:style>
  <w:style w:type="character" w:customStyle="1" w:styleId="Heading2Char">
    <w:name w:val="Heading 2 Char"/>
    <w:basedOn w:val="DefaultParagraphFont"/>
    <w:link w:val="Heading2"/>
    <w:rsid w:val="00AF5454"/>
    <w:rPr>
      <w:rFonts w:ascii="Arial" w:eastAsia="Times New Roman" w:hAnsi="Arial" w:cs="Arial"/>
      <w:b/>
      <w:bCs/>
      <w:iCs/>
      <w:sz w:val="24"/>
      <w:szCs w:val="28"/>
      <w:lang w:eastAsia="en-GB"/>
    </w:rPr>
  </w:style>
  <w:style w:type="character" w:customStyle="1" w:styleId="Heading3Char">
    <w:name w:val="Heading 3 Char"/>
    <w:basedOn w:val="DefaultParagraphFont"/>
    <w:link w:val="Heading3"/>
    <w:rsid w:val="00AF5454"/>
    <w:rPr>
      <w:rFonts w:ascii="Arial" w:eastAsiaTheme="majorEastAsia" w:hAnsi="Arial" w:cstheme="majorBidi"/>
      <w:b/>
      <w:bCs/>
      <w:szCs w:val="24"/>
      <w:lang w:eastAsia="en-GB"/>
    </w:rPr>
  </w:style>
  <w:style w:type="character" w:customStyle="1" w:styleId="Heading4Char">
    <w:name w:val="Heading 4 Char"/>
    <w:basedOn w:val="DefaultParagraphFont"/>
    <w:link w:val="Heading4"/>
    <w:uiPriority w:val="9"/>
    <w:rsid w:val="00AF5454"/>
    <w:rPr>
      <w:rFonts w:ascii="Arial" w:eastAsiaTheme="majorEastAsia" w:hAnsi="Arial" w:cstheme="majorBidi"/>
      <w:bCs/>
      <w:iCs/>
      <w:szCs w:val="20"/>
      <w:u w:val="single"/>
      <w:lang w:eastAsia="en-GB"/>
    </w:rPr>
  </w:style>
  <w:style w:type="paragraph" w:customStyle="1" w:styleId="Bullet">
    <w:name w:val="Bullet"/>
    <w:basedOn w:val="Normal"/>
    <w:rsid w:val="00AF5454"/>
    <w:pPr>
      <w:numPr>
        <w:numId w:val="1"/>
      </w:numPr>
      <w:spacing w:before="120"/>
      <w:ind w:left="284" w:hanging="284"/>
    </w:pPr>
  </w:style>
  <w:style w:type="table" w:styleId="TableGrid">
    <w:name w:val="Table Grid"/>
    <w:basedOn w:val="TableNormal"/>
    <w:rsid w:val="00AF545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F5454"/>
    <w:pPr>
      <w:tabs>
        <w:tab w:val="right" w:pos="9923"/>
      </w:tabs>
    </w:pPr>
  </w:style>
  <w:style w:type="character" w:customStyle="1" w:styleId="HeaderChar">
    <w:name w:val="Header Char"/>
    <w:basedOn w:val="DefaultParagraphFont"/>
    <w:link w:val="Header"/>
    <w:rsid w:val="00AF5454"/>
    <w:rPr>
      <w:rFonts w:ascii="Arial" w:eastAsia="Times New Roman" w:hAnsi="Arial" w:cs="Times"/>
      <w:szCs w:val="24"/>
      <w:lang w:eastAsia="en-GB"/>
    </w:rPr>
  </w:style>
  <w:style w:type="paragraph" w:customStyle="1" w:styleId="TableText">
    <w:name w:val="TableText"/>
    <w:basedOn w:val="Normal"/>
    <w:rsid w:val="00AF5454"/>
    <w:pPr>
      <w:spacing w:before="120" w:after="120"/>
    </w:pPr>
  </w:style>
  <w:style w:type="paragraph" w:styleId="Footer">
    <w:name w:val="footer"/>
    <w:basedOn w:val="Normal"/>
    <w:link w:val="FooterChar"/>
    <w:rsid w:val="00AF5454"/>
    <w:pPr>
      <w:pBdr>
        <w:top w:val="single" w:sz="4" w:space="4" w:color="auto"/>
      </w:pBdr>
      <w:jc w:val="right"/>
    </w:pPr>
    <w:rPr>
      <w:b/>
      <w:sz w:val="20"/>
    </w:rPr>
  </w:style>
  <w:style w:type="character" w:customStyle="1" w:styleId="FooterChar">
    <w:name w:val="Footer Char"/>
    <w:basedOn w:val="DefaultParagraphFont"/>
    <w:link w:val="Footer"/>
    <w:rsid w:val="00AF5454"/>
    <w:rPr>
      <w:rFonts w:ascii="Arial" w:eastAsia="Times New Roman" w:hAnsi="Arial" w:cs="Times"/>
      <w:b/>
      <w:sz w:val="20"/>
      <w:szCs w:val="24"/>
      <w:lang w:eastAsia="en-GB"/>
    </w:rPr>
  </w:style>
  <w:style w:type="character" w:styleId="PageNumber">
    <w:name w:val="page number"/>
    <w:basedOn w:val="DefaultParagraphFont"/>
    <w:rsid w:val="00AF5454"/>
  </w:style>
  <w:style w:type="character" w:customStyle="1" w:styleId="RomanChar">
    <w:name w:val="Roman Char"/>
    <w:link w:val="Roman"/>
    <w:rsid w:val="00AF5454"/>
    <w:rPr>
      <w:rFonts w:ascii="Arial" w:hAnsi="Arial"/>
      <w:lang w:eastAsia="en-GB"/>
    </w:rPr>
  </w:style>
  <w:style w:type="paragraph" w:styleId="Title">
    <w:name w:val="Title"/>
    <w:basedOn w:val="Normal"/>
    <w:next w:val="Normal"/>
    <w:link w:val="TitleChar"/>
    <w:qFormat/>
    <w:rsid w:val="00AF5454"/>
    <w:pPr>
      <w:spacing w:after="240"/>
    </w:pPr>
    <w:rPr>
      <w:rFonts w:eastAsiaTheme="majorEastAsia" w:cstheme="majorBidi"/>
      <w:b/>
      <w:sz w:val="32"/>
      <w:szCs w:val="52"/>
    </w:rPr>
  </w:style>
  <w:style w:type="character" w:customStyle="1" w:styleId="TitleChar">
    <w:name w:val="Title Char"/>
    <w:basedOn w:val="DefaultParagraphFont"/>
    <w:link w:val="Title"/>
    <w:rsid w:val="00AF5454"/>
    <w:rPr>
      <w:rFonts w:ascii="Arial" w:eastAsiaTheme="majorEastAsia" w:hAnsi="Arial" w:cstheme="majorBidi"/>
      <w:b/>
      <w:sz w:val="32"/>
      <w:szCs w:val="52"/>
      <w:lang w:eastAsia="en-GB"/>
    </w:rPr>
  </w:style>
  <w:style w:type="paragraph" w:customStyle="1" w:styleId="Roman">
    <w:name w:val="Roman"/>
    <w:basedOn w:val="Normal"/>
    <w:link w:val="RomanChar"/>
    <w:rsid w:val="00AF5454"/>
    <w:pPr>
      <w:numPr>
        <w:ilvl w:val="2"/>
        <w:numId w:val="3"/>
      </w:numPr>
      <w:spacing w:before="120"/>
    </w:pPr>
    <w:rPr>
      <w:rFonts w:eastAsiaTheme="minorHAnsi" w:cstheme="minorBidi"/>
      <w:szCs w:val="22"/>
    </w:rPr>
  </w:style>
  <w:style w:type="paragraph" w:customStyle="1" w:styleId="Letter">
    <w:name w:val="Letter"/>
    <w:basedOn w:val="Normal"/>
    <w:qFormat/>
    <w:rsid w:val="00AF5454"/>
    <w:pPr>
      <w:numPr>
        <w:ilvl w:val="1"/>
        <w:numId w:val="3"/>
      </w:numPr>
      <w:spacing w:before="60"/>
    </w:pPr>
    <w:rPr>
      <w:szCs w:val="22"/>
    </w:rPr>
  </w:style>
  <w:style w:type="paragraph" w:styleId="FootnoteText">
    <w:name w:val="footnote text"/>
    <w:basedOn w:val="Normal"/>
    <w:link w:val="FootnoteTextChar"/>
    <w:rsid w:val="00AF5454"/>
    <w:pPr>
      <w:spacing w:before="60"/>
      <w:ind w:left="284" w:hanging="284"/>
    </w:pPr>
    <w:rPr>
      <w:rFonts w:cs="Times New Roman"/>
      <w:sz w:val="18"/>
      <w:szCs w:val="20"/>
    </w:rPr>
  </w:style>
  <w:style w:type="character" w:customStyle="1" w:styleId="FootnoteTextChar">
    <w:name w:val="Footnote Text Char"/>
    <w:basedOn w:val="DefaultParagraphFont"/>
    <w:link w:val="FootnoteText"/>
    <w:rsid w:val="00AF5454"/>
    <w:rPr>
      <w:rFonts w:ascii="Arial" w:eastAsia="Times New Roman" w:hAnsi="Arial" w:cs="Times New Roman"/>
      <w:sz w:val="18"/>
      <w:szCs w:val="20"/>
      <w:lang w:eastAsia="en-GB"/>
    </w:rPr>
  </w:style>
  <w:style w:type="character" w:styleId="FootnoteReference">
    <w:name w:val="footnote reference"/>
    <w:rsid w:val="00AF5454"/>
    <w:rPr>
      <w:vertAlign w:val="superscript"/>
    </w:rPr>
  </w:style>
  <w:style w:type="paragraph" w:customStyle="1" w:styleId="Dash">
    <w:name w:val="Dash"/>
    <w:basedOn w:val="Normal"/>
    <w:qFormat/>
    <w:rsid w:val="00AF5454"/>
    <w:pPr>
      <w:numPr>
        <w:numId w:val="2"/>
      </w:numPr>
      <w:spacing w:before="60"/>
      <w:ind w:left="568" w:hanging="284"/>
    </w:pPr>
  </w:style>
  <w:style w:type="paragraph" w:customStyle="1" w:styleId="Number">
    <w:name w:val="Number"/>
    <w:basedOn w:val="Normal"/>
    <w:qFormat/>
    <w:rsid w:val="00AF5454"/>
    <w:pPr>
      <w:numPr>
        <w:numId w:val="3"/>
      </w:numPr>
      <w:spacing w:before="120"/>
    </w:pPr>
  </w:style>
  <w:style w:type="character" w:styleId="Hyperlink">
    <w:name w:val="Hyperlink"/>
    <w:rsid w:val="00AF5454"/>
    <w:rPr>
      <w:rFonts w:cs="Times New Roman"/>
      <w:color w:val="0000FF"/>
      <w:u w:val="single"/>
    </w:rPr>
  </w:style>
  <w:style w:type="paragraph" w:styleId="Revision">
    <w:name w:val="Revision"/>
    <w:hidden/>
    <w:uiPriority w:val="99"/>
    <w:semiHidden/>
    <w:rsid w:val="00AF5454"/>
    <w:pPr>
      <w:spacing w:after="0" w:line="240" w:lineRule="auto"/>
    </w:pPr>
    <w:rPr>
      <w:rFonts w:ascii="Arial" w:eastAsia="Times New Roman" w:hAnsi="Arial" w:cs="Times"/>
      <w:szCs w:val="24"/>
      <w:lang w:eastAsia="en-GB"/>
    </w:rPr>
  </w:style>
  <w:style w:type="character" w:styleId="PlaceholderText">
    <w:name w:val="Placeholder Text"/>
    <w:basedOn w:val="DefaultParagraphFont"/>
    <w:uiPriority w:val="99"/>
    <w:semiHidden/>
    <w:rsid w:val="00AF5454"/>
    <w:rPr>
      <w:color w:val="808080"/>
    </w:rPr>
  </w:style>
  <w:style w:type="character" w:styleId="CommentReference">
    <w:name w:val="annotation reference"/>
    <w:basedOn w:val="DefaultParagraphFont"/>
    <w:semiHidden/>
    <w:unhideWhenUsed/>
    <w:rsid w:val="00AF5454"/>
    <w:rPr>
      <w:sz w:val="16"/>
      <w:szCs w:val="16"/>
    </w:rPr>
  </w:style>
  <w:style w:type="paragraph" w:styleId="CommentText">
    <w:name w:val="annotation text"/>
    <w:basedOn w:val="Normal"/>
    <w:link w:val="CommentTextChar"/>
    <w:unhideWhenUsed/>
    <w:rsid w:val="00AF5454"/>
    <w:rPr>
      <w:sz w:val="20"/>
      <w:szCs w:val="20"/>
    </w:rPr>
  </w:style>
  <w:style w:type="character" w:customStyle="1" w:styleId="CommentTextChar">
    <w:name w:val="Comment Text Char"/>
    <w:basedOn w:val="DefaultParagraphFont"/>
    <w:link w:val="CommentText"/>
    <w:rsid w:val="00AF5454"/>
    <w:rPr>
      <w:rFonts w:ascii="Arial" w:eastAsia="Times New Roman" w:hAnsi="Arial" w:cs="Times"/>
      <w:sz w:val="20"/>
      <w:szCs w:val="20"/>
      <w:lang w:eastAsia="en-GB"/>
    </w:rPr>
  </w:style>
  <w:style w:type="paragraph" w:styleId="CommentSubject">
    <w:name w:val="annotation subject"/>
    <w:basedOn w:val="CommentText"/>
    <w:next w:val="CommentText"/>
    <w:link w:val="CommentSubjectChar"/>
    <w:semiHidden/>
    <w:unhideWhenUsed/>
    <w:rsid w:val="00AF5454"/>
    <w:rPr>
      <w:b/>
      <w:bCs/>
    </w:rPr>
  </w:style>
  <w:style w:type="character" w:customStyle="1" w:styleId="CommentSubjectChar">
    <w:name w:val="Comment Subject Char"/>
    <w:basedOn w:val="CommentTextChar"/>
    <w:link w:val="CommentSubject"/>
    <w:semiHidden/>
    <w:rsid w:val="00AF5454"/>
    <w:rPr>
      <w:rFonts w:ascii="Arial" w:eastAsia="Times New Roman" w:hAnsi="Arial" w:cs="Times"/>
      <w:b/>
      <w:bCs/>
      <w:sz w:val="20"/>
      <w:szCs w:val="20"/>
      <w:lang w:eastAsia="en-GB"/>
    </w:rPr>
  </w:style>
  <w:style w:type="paragraph" w:styleId="BalloonText">
    <w:name w:val="Balloon Text"/>
    <w:basedOn w:val="Normal"/>
    <w:link w:val="BalloonTextChar"/>
    <w:semiHidden/>
    <w:unhideWhenUsed/>
    <w:rsid w:val="00AF5454"/>
    <w:rPr>
      <w:rFonts w:ascii="Segoe UI" w:hAnsi="Segoe UI" w:cs="Segoe UI"/>
      <w:sz w:val="18"/>
      <w:szCs w:val="18"/>
    </w:rPr>
  </w:style>
  <w:style w:type="character" w:customStyle="1" w:styleId="BalloonTextChar">
    <w:name w:val="Balloon Text Char"/>
    <w:basedOn w:val="DefaultParagraphFont"/>
    <w:link w:val="BalloonText"/>
    <w:semiHidden/>
    <w:rsid w:val="00AF5454"/>
    <w:rPr>
      <w:rFonts w:ascii="Segoe UI" w:eastAsia="Times New Roman" w:hAnsi="Segoe UI" w:cs="Segoe UI"/>
      <w:sz w:val="18"/>
      <w:szCs w:val="18"/>
      <w:lang w:eastAsia="en-GB"/>
    </w:rPr>
  </w:style>
  <w:style w:type="paragraph" w:styleId="NoSpacing">
    <w:name w:val="No Spacing"/>
    <w:link w:val="NoSpacingChar"/>
    <w:uiPriority w:val="1"/>
    <w:qFormat/>
    <w:rsid w:val="00AF5454"/>
    <w:pPr>
      <w:spacing w:after="0" w:line="240" w:lineRule="auto"/>
      <w:jc w:val="both"/>
    </w:pPr>
    <w:rPr>
      <w:rFonts w:ascii="Times New Roman Mäori" w:eastAsia="Times New Roman" w:hAnsi="Times New Roman Mäori" w:cs="Times New Roman"/>
      <w:sz w:val="24"/>
      <w:szCs w:val="24"/>
    </w:rPr>
  </w:style>
  <w:style w:type="character" w:customStyle="1" w:styleId="NoSpacingChar">
    <w:name w:val="No Spacing Char"/>
    <w:link w:val="NoSpacing"/>
    <w:uiPriority w:val="1"/>
    <w:rsid w:val="00AF5454"/>
    <w:rPr>
      <w:rFonts w:ascii="Times New Roman Mäori" w:eastAsia="Times New Roman" w:hAnsi="Times New Roman Mäori" w:cs="Times New Roman"/>
      <w:sz w:val="24"/>
      <w:szCs w:val="24"/>
    </w:rPr>
  </w:style>
  <w:style w:type="paragraph" w:styleId="ListParagraph">
    <w:name w:val="List Paragraph"/>
    <w:aliases w:val="Level 3,List Paragraph1"/>
    <w:basedOn w:val="Normal"/>
    <w:link w:val="ListParagraphChar"/>
    <w:uiPriority w:val="34"/>
    <w:qFormat/>
    <w:rsid w:val="00AF5454"/>
    <w:pPr>
      <w:ind w:left="720"/>
      <w:contextualSpacing/>
    </w:pPr>
  </w:style>
  <w:style w:type="paragraph" w:customStyle="1" w:styleId="CharChar">
    <w:name w:val="Char Char"/>
    <w:basedOn w:val="Normal"/>
    <w:rsid w:val="003A5FD5"/>
    <w:pPr>
      <w:spacing w:after="160" w:line="240" w:lineRule="exact"/>
    </w:pPr>
    <w:rPr>
      <w:rFonts w:cs="Times New Roman"/>
      <w:sz w:val="20"/>
      <w:szCs w:val="20"/>
      <w:lang w:val="en-US" w:eastAsia="en-US"/>
    </w:rPr>
  </w:style>
  <w:style w:type="paragraph" w:styleId="Caption">
    <w:name w:val="caption"/>
    <w:basedOn w:val="Normal"/>
    <w:next w:val="Normal"/>
    <w:uiPriority w:val="35"/>
    <w:unhideWhenUsed/>
    <w:qFormat/>
    <w:rsid w:val="00F4242B"/>
    <w:pPr>
      <w:spacing w:after="200"/>
    </w:pPr>
    <w:rPr>
      <w:i/>
      <w:iCs/>
      <w:color w:val="44546A" w:themeColor="text2"/>
      <w:sz w:val="18"/>
      <w:szCs w:val="18"/>
    </w:rPr>
  </w:style>
  <w:style w:type="character" w:customStyle="1" w:styleId="hit1">
    <w:name w:val="hit1"/>
    <w:basedOn w:val="DefaultParagraphFont"/>
    <w:rsid w:val="00B231CB"/>
    <w:rPr>
      <w:color w:val="000000"/>
      <w:shd w:val="clear" w:color="auto" w:fill="FFFF00"/>
    </w:rPr>
  </w:style>
  <w:style w:type="character" w:customStyle="1" w:styleId="label2">
    <w:name w:val="label2"/>
    <w:basedOn w:val="DefaultParagraphFont"/>
    <w:rsid w:val="00B231CB"/>
  </w:style>
  <w:style w:type="character" w:customStyle="1" w:styleId="label3">
    <w:name w:val="label3"/>
    <w:basedOn w:val="DefaultParagraphFont"/>
    <w:rsid w:val="00B231CB"/>
  </w:style>
  <w:style w:type="paragraph" w:customStyle="1" w:styleId="subprov1">
    <w:name w:val="subprov1"/>
    <w:basedOn w:val="Normal"/>
    <w:rsid w:val="00B231CB"/>
    <w:pPr>
      <w:spacing w:before="83" w:after="216" w:line="288" w:lineRule="atLeast"/>
    </w:pPr>
    <w:rPr>
      <w:rFonts w:ascii="Times New Roman" w:hAnsi="Times New Roman" w:cs="Times New Roman"/>
      <w:sz w:val="24"/>
      <w:lang w:eastAsia="en-NZ"/>
    </w:rPr>
  </w:style>
  <w:style w:type="paragraph" w:customStyle="1" w:styleId="cf2">
    <w:name w:val="cf2"/>
    <w:basedOn w:val="Normal"/>
    <w:rsid w:val="00B231CB"/>
    <w:pPr>
      <w:spacing w:before="83" w:after="216" w:line="288" w:lineRule="atLeast"/>
    </w:pPr>
    <w:rPr>
      <w:rFonts w:ascii="Times New Roman" w:hAnsi="Times New Roman" w:cs="Times New Roman"/>
      <w:sz w:val="19"/>
      <w:szCs w:val="19"/>
      <w:lang w:eastAsia="en-NZ"/>
    </w:rPr>
  </w:style>
  <w:style w:type="character" w:customStyle="1" w:styleId="ListParagraphChar">
    <w:name w:val="List Paragraph Char"/>
    <w:aliases w:val="Level 3 Char,List Paragraph1 Char"/>
    <w:basedOn w:val="DefaultParagraphFont"/>
    <w:link w:val="ListParagraph"/>
    <w:uiPriority w:val="34"/>
    <w:locked/>
    <w:rsid w:val="00B50065"/>
    <w:rPr>
      <w:rFonts w:ascii="Arial" w:eastAsia="Times New Roman" w:hAnsi="Arial" w:cs="Times"/>
      <w:szCs w:val="24"/>
      <w:lang w:eastAsia="en-GB"/>
    </w:rPr>
  </w:style>
  <w:style w:type="paragraph" w:customStyle="1" w:styleId="Boxtext">
    <w:name w:val="Box text"/>
    <w:basedOn w:val="Normal"/>
    <w:rsid w:val="00850CB8"/>
    <w:pPr>
      <w:pBdr>
        <w:top w:val="single" w:sz="4" w:space="1" w:color="EBF5F8"/>
        <w:left w:val="single" w:sz="4" w:space="4" w:color="EBF5F8"/>
        <w:bottom w:val="single" w:sz="4" w:space="1" w:color="EBF5F8"/>
        <w:right w:val="single" w:sz="4" w:space="4" w:color="EBF5F8"/>
      </w:pBdr>
      <w:shd w:val="clear" w:color="auto" w:fill="EBF5F8"/>
      <w:spacing w:after="80" w:line="280" w:lineRule="atLeast"/>
      <w:ind w:left="142" w:right="142"/>
    </w:pPr>
    <w:rPr>
      <w:rFonts w:cs="Times New Roman"/>
      <w:sz w:val="20"/>
      <w:szCs w:val="20"/>
      <w:lang w:val="en-GB"/>
    </w:rPr>
  </w:style>
  <w:style w:type="paragraph" w:customStyle="1" w:styleId="spacer">
    <w:name w:val="spacer"/>
    <w:basedOn w:val="Normal"/>
    <w:qFormat/>
    <w:rsid w:val="00850CB8"/>
    <w:rPr>
      <w:rFonts w:cs="Times New Roman"/>
      <w:sz w:val="16"/>
      <w:szCs w:val="22"/>
      <w:lang w:val="en-GB" w:eastAsia="en-AU"/>
    </w:rPr>
  </w:style>
  <w:style w:type="paragraph" w:customStyle="1" w:styleId="TableText0">
    <w:name w:val="Table Text"/>
    <w:basedOn w:val="Normal"/>
    <w:rsid w:val="00850CB8"/>
    <w:pPr>
      <w:autoSpaceDE w:val="0"/>
      <w:autoSpaceDN w:val="0"/>
      <w:adjustRightInd w:val="0"/>
      <w:spacing w:before="60" w:after="60" w:line="240" w:lineRule="atLeast"/>
      <w:jc w:val="both"/>
    </w:pPr>
    <w:rPr>
      <w:rFonts w:cs="GillSans"/>
      <w:i/>
      <w:sz w:val="20"/>
      <w:szCs w:val="22"/>
      <w:lang w:val="en-GB" w:eastAsia="en-AU"/>
    </w:rPr>
  </w:style>
  <w:style w:type="paragraph" w:customStyle="1" w:styleId="TableHeading1">
    <w:name w:val="Table Heading 1"/>
    <w:basedOn w:val="Normal"/>
    <w:qFormat/>
    <w:rsid w:val="00850CB8"/>
    <w:pPr>
      <w:spacing w:before="60" w:after="60" w:line="240" w:lineRule="atLeast"/>
      <w:jc w:val="both"/>
    </w:pPr>
    <w:rPr>
      <w:rFonts w:cs="Arial"/>
      <w:b/>
      <w:color w:val="000000"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031040">
      <w:bodyDiv w:val="1"/>
      <w:marLeft w:val="0"/>
      <w:marRight w:val="0"/>
      <w:marTop w:val="0"/>
      <w:marBottom w:val="0"/>
      <w:divBdr>
        <w:top w:val="none" w:sz="0" w:space="0" w:color="auto"/>
        <w:left w:val="none" w:sz="0" w:space="0" w:color="auto"/>
        <w:bottom w:val="none" w:sz="0" w:space="0" w:color="auto"/>
        <w:right w:val="none" w:sz="0" w:space="0" w:color="auto"/>
      </w:divBdr>
      <w:divsChild>
        <w:div w:id="411855988">
          <w:marLeft w:val="0"/>
          <w:marRight w:val="0"/>
          <w:marTop w:val="0"/>
          <w:marBottom w:val="0"/>
          <w:divBdr>
            <w:top w:val="none" w:sz="0" w:space="0" w:color="auto"/>
            <w:left w:val="none" w:sz="0" w:space="0" w:color="auto"/>
            <w:bottom w:val="none" w:sz="0" w:space="0" w:color="auto"/>
            <w:right w:val="none" w:sz="0" w:space="0" w:color="auto"/>
          </w:divBdr>
          <w:divsChild>
            <w:div w:id="2112580900">
              <w:marLeft w:val="0"/>
              <w:marRight w:val="0"/>
              <w:marTop w:val="0"/>
              <w:marBottom w:val="0"/>
              <w:divBdr>
                <w:top w:val="none" w:sz="0" w:space="0" w:color="auto"/>
                <w:left w:val="none" w:sz="0" w:space="0" w:color="auto"/>
                <w:bottom w:val="none" w:sz="0" w:space="0" w:color="auto"/>
                <w:right w:val="none" w:sz="0" w:space="0" w:color="auto"/>
              </w:divBdr>
              <w:divsChild>
                <w:div w:id="808984625">
                  <w:marLeft w:val="0"/>
                  <w:marRight w:val="0"/>
                  <w:marTop w:val="105"/>
                  <w:marBottom w:val="0"/>
                  <w:divBdr>
                    <w:top w:val="none" w:sz="0" w:space="0" w:color="auto"/>
                    <w:left w:val="none" w:sz="0" w:space="0" w:color="auto"/>
                    <w:bottom w:val="none" w:sz="0" w:space="0" w:color="auto"/>
                    <w:right w:val="none" w:sz="0" w:space="0" w:color="auto"/>
                  </w:divBdr>
                  <w:divsChild>
                    <w:div w:id="725027031">
                      <w:marLeft w:val="450"/>
                      <w:marRight w:val="225"/>
                      <w:marTop w:val="0"/>
                      <w:marBottom w:val="0"/>
                      <w:divBdr>
                        <w:top w:val="none" w:sz="0" w:space="0" w:color="auto"/>
                        <w:left w:val="none" w:sz="0" w:space="0" w:color="auto"/>
                        <w:bottom w:val="none" w:sz="0" w:space="0" w:color="auto"/>
                        <w:right w:val="none" w:sz="0" w:space="0" w:color="auto"/>
                      </w:divBdr>
                      <w:divsChild>
                        <w:div w:id="824125604">
                          <w:marLeft w:val="0"/>
                          <w:marRight w:val="0"/>
                          <w:marTop w:val="0"/>
                          <w:marBottom w:val="600"/>
                          <w:divBdr>
                            <w:top w:val="single" w:sz="6" w:space="0" w:color="314664"/>
                            <w:left w:val="single" w:sz="6" w:space="0" w:color="314664"/>
                            <w:bottom w:val="single" w:sz="6" w:space="0" w:color="314664"/>
                            <w:right w:val="single" w:sz="6" w:space="0" w:color="314664"/>
                          </w:divBdr>
                          <w:divsChild>
                            <w:div w:id="1653750489">
                              <w:marLeft w:val="0"/>
                              <w:marRight w:val="0"/>
                              <w:marTop w:val="0"/>
                              <w:marBottom w:val="0"/>
                              <w:divBdr>
                                <w:top w:val="none" w:sz="0" w:space="0" w:color="auto"/>
                                <w:left w:val="none" w:sz="0" w:space="0" w:color="auto"/>
                                <w:bottom w:val="none" w:sz="0" w:space="0" w:color="auto"/>
                                <w:right w:val="none" w:sz="0" w:space="0" w:color="auto"/>
                              </w:divBdr>
                              <w:divsChild>
                                <w:div w:id="186646560">
                                  <w:marLeft w:val="0"/>
                                  <w:marRight w:val="0"/>
                                  <w:marTop w:val="0"/>
                                  <w:marBottom w:val="0"/>
                                  <w:divBdr>
                                    <w:top w:val="none" w:sz="0" w:space="0" w:color="auto"/>
                                    <w:left w:val="none" w:sz="0" w:space="0" w:color="auto"/>
                                    <w:bottom w:val="none" w:sz="0" w:space="0" w:color="auto"/>
                                    <w:right w:val="none" w:sz="0" w:space="0" w:color="auto"/>
                                  </w:divBdr>
                                  <w:divsChild>
                                    <w:div w:id="370422171">
                                      <w:marLeft w:val="0"/>
                                      <w:marRight w:val="0"/>
                                      <w:marTop w:val="0"/>
                                      <w:marBottom w:val="0"/>
                                      <w:divBdr>
                                        <w:top w:val="none" w:sz="0" w:space="0" w:color="auto"/>
                                        <w:left w:val="none" w:sz="0" w:space="0" w:color="auto"/>
                                        <w:bottom w:val="none" w:sz="0" w:space="0" w:color="auto"/>
                                        <w:right w:val="none" w:sz="0" w:space="0" w:color="auto"/>
                                      </w:divBdr>
                                      <w:divsChild>
                                        <w:div w:id="2135899671">
                                          <w:marLeft w:val="0"/>
                                          <w:marRight w:val="0"/>
                                          <w:marTop w:val="0"/>
                                          <w:marBottom w:val="0"/>
                                          <w:divBdr>
                                            <w:top w:val="none" w:sz="0" w:space="0" w:color="auto"/>
                                            <w:left w:val="none" w:sz="0" w:space="0" w:color="auto"/>
                                            <w:bottom w:val="none" w:sz="0" w:space="0" w:color="auto"/>
                                            <w:right w:val="none" w:sz="0" w:space="0" w:color="auto"/>
                                          </w:divBdr>
                                          <w:divsChild>
                                            <w:div w:id="2095474041">
                                              <w:marLeft w:val="0"/>
                                              <w:marRight w:val="0"/>
                                              <w:marTop w:val="0"/>
                                              <w:marBottom w:val="0"/>
                                              <w:divBdr>
                                                <w:top w:val="none" w:sz="0" w:space="0" w:color="auto"/>
                                                <w:left w:val="none" w:sz="0" w:space="0" w:color="auto"/>
                                                <w:bottom w:val="none" w:sz="0" w:space="0" w:color="auto"/>
                                                <w:right w:val="none" w:sz="0" w:space="0" w:color="auto"/>
                                              </w:divBdr>
                                              <w:divsChild>
                                                <w:div w:id="735511735">
                                                  <w:marLeft w:val="0"/>
                                                  <w:marRight w:val="0"/>
                                                  <w:marTop w:val="0"/>
                                                  <w:marBottom w:val="0"/>
                                                  <w:divBdr>
                                                    <w:top w:val="none" w:sz="0" w:space="0" w:color="auto"/>
                                                    <w:left w:val="none" w:sz="0" w:space="0" w:color="auto"/>
                                                    <w:bottom w:val="none" w:sz="0" w:space="0" w:color="auto"/>
                                                    <w:right w:val="none" w:sz="0" w:space="0" w:color="auto"/>
                                                  </w:divBdr>
                                                  <w:divsChild>
                                                    <w:div w:id="203718206">
                                                      <w:marLeft w:val="0"/>
                                                      <w:marRight w:val="0"/>
                                                      <w:marTop w:val="0"/>
                                                      <w:marBottom w:val="0"/>
                                                      <w:divBdr>
                                                        <w:top w:val="none" w:sz="0" w:space="0" w:color="auto"/>
                                                        <w:left w:val="none" w:sz="0" w:space="0" w:color="auto"/>
                                                        <w:bottom w:val="none" w:sz="0" w:space="0" w:color="auto"/>
                                                        <w:right w:val="none" w:sz="0" w:space="0" w:color="auto"/>
                                                      </w:divBdr>
                                                      <w:divsChild>
                                                        <w:div w:id="76833209">
                                                          <w:marLeft w:val="0"/>
                                                          <w:marRight w:val="0"/>
                                                          <w:marTop w:val="0"/>
                                                          <w:marBottom w:val="0"/>
                                                          <w:divBdr>
                                                            <w:top w:val="none" w:sz="0" w:space="0" w:color="auto"/>
                                                            <w:left w:val="none" w:sz="0" w:space="0" w:color="auto"/>
                                                            <w:bottom w:val="none" w:sz="0" w:space="0" w:color="auto"/>
                                                            <w:right w:val="none" w:sz="0" w:space="0" w:color="auto"/>
                                                          </w:divBdr>
                                                          <w:divsChild>
                                                            <w:div w:id="1602446853">
                                                              <w:marLeft w:val="0"/>
                                                              <w:marRight w:val="0"/>
                                                              <w:marTop w:val="0"/>
                                                              <w:marBottom w:val="0"/>
                                                              <w:divBdr>
                                                                <w:top w:val="none" w:sz="0" w:space="0" w:color="auto"/>
                                                                <w:left w:val="none" w:sz="0" w:space="0" w:color="auto"/>
                                                                <w:bottom w:val="none" w:sz="0" w:space="0" w:color="auto"/>
                                                                <w:right w:val="none" w:sz="0" w:space="0" w:color="auto"/>
                                                              </w:divBdr>
                                                              <w:divsChild>
                                                                <w:div w:id="313947316">
                                                                  <w:marLeft w:val="0"/>
                                                                  <w:marRight w:val="0"/>
                                                                  <w:marTop w:val="0"/>
                                                                  <w:marBottom w:val="0"/>
                                                                  <w:divBdr>
                                                                    <w:top w:val="none" w:sz="0" w:space="0" w:color="auto"/>
                                                                    <w:left w:val="none" w:sz="0" w:space="0" w:color="auto"/>
                                                                    <w:bottom w:val="none" w:sz="0" w:space="0" w:color="auto"/>
                                                                    <w:right w:val="none" w:sz="0" w:space="0" w:color="auto"/>
                                                                  </w:divBdr>
                                                                  <w:divsChild>
                                                                    <w:div w:id="414479956">
                                                                      <w:marLeft w:val="0"/>
                                                                      <w:marRight w:val="0"/>
                                                                      <w:marTop w:val="83"/>
                                                                      <w:marBottom w:val="0"/>
                                                                      <w:divBdr>
                                                                        <w:top w:val="none" w:sz="0" w:space="0" w:color="auto"/>
                                                                        <w:left w:val="none" w:sz="0" w:space="0" w:color="auto"/>
                                                                        <w:bottom w:val="none" w:sz="0" w:space="0" w:color="auto"/>
                                                                        <w:right w:val="none" w:sz="0" w:space="0" w:color="auto"/>
                                                                      </w:divBdr>
                                                                      <w:divsChild>
                                                                        <w:div w:id="913973781">
                                                                          <w:marLeft w:val="0"/>
                                                                          <w:marRight w:val="0"/>
                                                                          <w:marTop w:val="0"/>
                                                                          <w:marBottom w:val="0"/>
                                                                          <w:divBdr>
                                                                            <w:top w:val="none" w:sz="0" w:space="0" w:color="auto"/>
                                                                            <w:left w:val="none" w:sz="0" w:space="0" w:color="auto"/>
                                                                            <w:bottom w:val="none" w:sz="0" w:space="0" w:color="auto"/>
                                                                            <w:right w:val="none" w:sz="0" w:space="0" w:color="auto"/>
                                                                          </w:divBdr>
                                                                          <w:divsChild>
                                                                            <w:div w:id="612636648">
                                                                              <w:marLeft w:val="0"/>
                                                                              <w:marRight w:val="0"/>
                                                                              <w:marTop w:val="83"/>
                                                                              <w:marBottom w:val="0"/>
                                                                              <w:divBdr>
                                                                                <w:top w:val="none" w:sz="0" w:space="0" w:color="auto"/>
                                                                                <w:left w:val="none" w:sz="0" w:space="0" w:color="auto"/>
                                                                                <w:bottom w:val="none" w:sz="0" w:space="0" w:color="auto"/>
                                                                                <w:right w:val="none" w:sz="0" w:space="0" w:color="auto"/>
                                                                              </w:divBdr>
                                                                            </w:div>
                                                                          </w:divsChild>
                                                                        </w:div>
                                                                        <w:div w:id="1030372307">
                                                                          <w:marLeft w:val="0"/>
                                                                          <w:marRight w:val="0"/>
                                                                          <w:marTop w:val="0"/>
                                                                          <w:marBottom w:val="0"/>
                                                                          <w:divBdr>
                                                                            <w:top w:val="none" w:sz="0" w:space="0" w:color="auto"/>
                                                                            <w:left w:val="none" w:sz="0" w:space="0" w:color="auto"/>
                                                                            <w:bottom w:val="none" w:sz="0" w:space="0" w:color="auto"/>
                                                                            <w:right w:val="none" w:sz="0" w:space="0" w:color="auto"/>
                                                                          </w:divBdr>
                                                                          <w:divsChild>
                                                                            <w:div w:id="136251245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343120050">
                                                                  <w:marLeft w:val="0"/>
                                                                  <w:marRight w:val="0"/>
                                                                  <w:marTop w:val="0"/>
                                                                  <w:marBottom w:val="0"/>
                                                                  <w:divBdr>
                                                                    <w:top w:val="none" w:sz="0" w:space="0" w:color="auto"/>
                                                                    <w:left w:val="none" w:sz="0" w:space="0" w:color="auto"/>
                                                                    <w:bottom w:val="none" w:sz="0" w:space="0" w:color="auto"/>
                                                                    <w:right w:val="none" w:sz="0" w:space="0" w:color="auto"/>
                                                                  </w:divBdr>
                                                                  <w:divsChild>
                                                                    <w:div w:id="127378014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52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publication/drinking-water-standards-new-zealand-2005-revised-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41564-5499-468C-962B-47662E8F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Drinking-water Standards for New Zealand 2005 (Revised 2018): Summary of changes</vt:lpstr>
    </vt:vector>
  </TitlesOfParts>
  <Company>Ministry of Health</Company>
  <LinksUpToDate>false</LinksUpToDate>
  <CharactersWithSpaces>11489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Drinking-water Standards for New Zealand 2005 (Revised 2018): Summary of changes</dc:title>
  <dc:subject/>
  <dc:creator>Ministry of Health</dc:creator>
  <cp:keywords/>
  <dc:description/>
  <cp:lastModifiedBy>FOSS</cp:lastModifiedBy>
  <cp:revision>2</cp:revision>
  <cp:lastPrinted>2018-10-28T20:47:00Z</cp:lastPrinted>
  <dcterms:created xsi:type="dcterms:W3CDTF">2020-09-09T00:04:00Z</dcterms:created>
  <dcterms:modified xsi:type="dcterms:W3CDTF">2020-09-09T00:04:00Z</dcterms:modified>
</cp:coreProperties>
</file>